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33" w:rsidRPr="007F66BA" w:rsidRDefault="006B5833" w:rsidP="006B5833">
      <w:pPr>
        <w:pStyle w:val="Tekstpodstawowy"/>
        <w:spacing w:line="276" w:lineRule="auto"/>
        <w:jc w:val="center"/>
        <w:rPr>
          <w:b/>
          <w:i/>
          <w:szCs w:val="24"/>
        </w:rPr>
      </w:pPr>
      <w:r w:rsidRPr="007F66BA">
        <w:rPr>
          <w:b/>
          <w:i/>
          <w:szCs w:val="24"/>
        </w:rPr>
        <w:t>SPIS TREŚCI</w:t>
      </w:r>
    </w:p>
    <w:p w:rsidR="005559A8" w:rsidRDefault="005A112E" w:rsidP="005559A8">
      <w:pPr>
        <w:pStyle w:val="Spistreci2"/>
        <w:rPr>
          <w:rStyle w:val="Hipercze"/>
        </w:rPr>
      </w:pPr>
      <w:r w:rsidRPr="005A112E">
        <w:rPr>
          <w:sz w:val="16"/>
          <w:szCs w:val="16"/>
        </w:rPr>
        <w:fldChar w:fldCharType="begin"/>
      </w:r>
      <w:r w:rsidR="006B5833" w:rsidRPr="005559A8">
        <w:rPr>
          <w:sz w:val="16"/>
          <w:szCs w:val="16"/>
        </w:rPr>
        <w:instrText xml:space="preserve"> TOC \o "1-3" \h \z </w:instrText>
      </w:r>
      <w:r w:rsidRPr="005A112E">
        <w:rPr>
          <w:sz w:val="16"/>
          <w:szCs w:val="16"/>
        </w:rPr>
        <w:fldChar w:fldCharType="separate"/>
      </w:r>
      <w:hyperlink w:anchor="_Toc153546892" w:history="1">
        <w:r w:rsidR="005559A8" w:rsidRPr="005559A8">
          <w:rPr>
            <w:rStyle w:val="Hipercze"/>
          </w:rPr>
          <w:t>CZĘŚĆ II - PROJEKT ARCHITEKTONICZNO-BUDOWLANY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_Toc153546892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3</w:t>
        </w:r>
        <w:r w:rsidRPr="005559A8">
          <w:rPr>
            <w:webHidden/>
          </w:rPr>
          <w:fldChar w:fldCharType="end"/>
        </w:r>
      </w:hyperlink>
    </w:p>
    <w:p w:rsidR="005559A8" w:rsidRPr="005559A8" w:rsidRDefault="005559A8" w:rsidP="005559A8">
      <w:pPr>
        <w:rPr>
          <w:rFonts w:eastAsiaTheme="minorEastAsia"/>
        </w:rPr>
      </w:pPr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3" w:history="1">
        <w:r w:rsidR="005559A8" w:rsidRPr="005559A8">
          <w:rPr>
            <w:rStyle w:val="Hipercze"/>
            <w:sz w:val="16"/>
            <w:szCs w:val="16"/>
          </w:rPr>
          <w:t>1) rodzaj i kategorię obiektu budowlanego będącego przedmiotem zamierzenia budowlanego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_Toc153546893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4" w:history="1">
        <w:r w:rsidR="005559A8" w:rsidRPr="005559A8">
          <w:rPr>
            <w:rStyle w:val="Hipercze"/>
            <w:sz w:val="16"/>
            <w:szCs w:val="16"/>
          </w:rPr>
          <w:t>2) zamierzony sposób użytkowania oraz program użytkowy obiektu budowlanego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_Toc153546894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5" w:history="1">
        <w:r w:rsidR="005559A8" w:rsidRPr="005559A8">
          <w:rPr>
            <w:rStyle w:val="Hipercze"/>
            <w:sz w:val="16"/>
            <w:szCs w:val="16"/>
          </w:rPr>
          <w:t>3) układ przestrzenny oraz formę architektoniczną obiektu budowlanego, w tym jego wygląd zewnętrzny, uwzględniając charakterystyczne wyroby wykończeniowe i kolorystykę elewacji, a także sposób jego dostosowania do warunków wynikających z wymaganych przepisami szczególnymi pozwoleń, uzgodnień lub opinii innych organów, o których mowa w art. 32 ust. 1 pkt 2 ustawy, lub ustaleń miejscowego planu zagospodarowania przestrzennego, a w przypadku jego braku – z decyzji o warunkach zabudowy i zagospodarowania terenu albo uchwały o ustaleniu lokalizacji inwestycji mieszkaniowej lub inwestycji towarzyszących.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_Toc153546895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6" w:history="1">
        <w:r w:rsidR="005559A8" w:rsidRPr="005559A8">
          <w:rPr>
            <w:rStyle w:val="Hipercze"/>
            <w:sz w:val="16"/>
            <w:szCs w:val="16"/>
          </w:rPr>
          <w:t>4) charakterystyczne parametry obiektu budowlanego, w szczególności: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_Toc153546896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7" w:history="1">
        <w:r w:rsidR="005559A8" w:rsidRPr="005559A8">
          <w:rPr>
            <w:rStyle w:val="Hipercze"/>
            <w:sz w:val="16"/>
            <w:szCs w:val="16"/>
          </w:rPr>
          <w:t>a) kubaturę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_Toc153546897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8" w:history="1">
        <w:r w:rsidR="005559A8" w:rsidRPr="005559A8">
          <w:rPr>
            <w:rStyle w:val="Hipercze"/>
            <w:sz w:val="16"/>
            <w:szCs w:val="16"/>
          </w:rPr>
          <w:t>b) zestawienie powierzchni, przy czym: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_Toc153546898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899" w:history="1">
        <w:r w:rsidR="005559A8" w:rsidRPr="005559A8">
          <w:rPr>
            <w:rStyle w:val="Hipercze"/>
            <w:sz w:val="16"/>
            <w:szCs w:val="16"/>
          </w:rPr>
          <w:t>– powierzchnię użytkową budynku pomniejsza się o powierzchnię: przekroju poziomego wszystkich wewnętrznych przegród budowlanych, przejść i otworów w tych przegrodach, przejść w przegrodach zewnętrznych, balkonów, tarasów, loggii, schodów wewnętrznych i podestów w lokalach mieszkalnych wielopoziomowych, nieużytkowych poddaszy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_Toc153546899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0" w:history="1">
        <w:r w:rsidR="005559A8" w:rsidRPr="005559A8">
          <w:rPr>
            <w:rStyle w:val="Hipercze"/>
            <w:sz w:val="16"/>
            <w:szCs w:val="16"/>
          </w:rPr>
          <w:t>– powierzchnię użytkową budynku powiększa się o powierzchnię: antresol, ogrodów zimowych oraz wbudowanych, ściennych szaf, schowków i garderób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_Toc153546900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1" w:history="1">
        <w:r w:rsidR="005559A8" w:rsidRPr="005559A8">
          <w:rPr>
            <w:rStyle w:val="Hipercze"/>
            <w:sz w:val="16"/>
            <w:szCs w:val="16"/>
          </w:rPr>
          <w:t>– przy określaniu powierzchni użytkowej powierzchnię pomieszczeń lub ich części o wysokości w świetle równej lub większej od 2,20 m zalicza się do obliczeń w 100%, o wysokości równej lub większej od 1,40 m, lecz mniejszej od 2,20 m – w 50%, natomiast o wysokości mniejszej od 1,40 m pomija się całkowicie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_Toc153546901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2" w:history="1">
        <w:r w:rsidR="005559A8" w:rsidRPr="005559A8">
          <w:rPr>
            <w:rStyle w:val="Hipercze"/>
            <w:sz w:val="16"/>
            <w:szCs w:val="16"/>
          </w:rPr>
          <w:t>– przy określaniu zestawienia powierzchni użytkowej lokali mieszkalnych przez lokal mieszkalny należy rozumieć wydzielone trwałymi ścianami w obrębie budynku pomieszczenie lub zespół pomieszczeń przeznaczonych na stały pobyt ludzi, które wraz z pomieszczeniami pomocniczymi służą zaspokajaniu ich potrzeb mieszkaniowych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_Toc153546902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4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3" w:history="1">
        <w:r w:rsidR="005559A8" w:rsidRPr="005559A8">
          <w:rPr>
            <w:rStyle w:val="Hipercze"/>
            <w:sz w:val="16"/>
            <w:szCs w:val="16"/>
          </w:rPr>
          <w:t>c) wysokość, długość, szerokość, średnicę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_Toc153546903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4" w:history="1">
        <w:r w:rsidR="005559A8" w:rsidRPr="005559A8">
          <w:rPr>
            <w:rStyle w:val="Hipercze"/>
            <w:sz w:val="16"/>
            <w:szCs w:val="16"/>
          </w:rPr>
          <w:t>d) liczbę kondygnacji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_Toc153546904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5" w:history="1">
        <w:r w:rsidR="005559A8" w:rsidRPr="005559A8">
          <w:rPr>
            <w:rStyle w:val="Hipercze"/>
            <w:sz w:val="16"/>
            <w:szCs w:val="16"/>
          </w:rPr>
          <w:t>e) inne dane niż wskazane w lit. a–d niezbędne do stwierdzenia zgodności usytuowania obiektu z wymaganiami ochrony przeciwpożarowej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_Toc153546905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6" w:history="1">
        <w:r w:rsidR="005559A8" w:rsidRPr="005559A8">
          <w:rPr>
            <w:rStyle w:val="Hipercze"/>
            <w:sz w:val="16"/>
            <w:szCs w:val="16"/>
          </w:rPr>
          <w:t>5) opinię geotechniczną oraz informację o sposobie posadowienia obiektu budowlanego.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_Toc153546906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7" w:history="1">
        <w:r w:rsidR="005559A8" w:rsidRPr="005559A8">
          <w:rPr>
            <w:rStyle w:val="Hipercze"/>
            <w:sz w:val="16"/>
            <w:szCs w:val="16"/>
          </w:rPr>
          <w:t>6) w przypadku zamierzenia budowlanego dotyczącego budynku – liczbę lokali mieszkalnych i użytkowych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_Toc153546907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8" w:history="1">
        <w:r w:rsidR="005559A8" w:rsidRPr="005559A8">
          <w:rPr>
            <w:rStyle w:val="Hipercze"/>
            <w:sz w:val="16"/>
            <w:szCs w:val="16"/>
          </w:rPr>
          <w:t>7) w przypadku zamierzenia budowlanego dotyczącego budynku mieszkalnego wielorodzinnego – liczbę lokali mieszkalnych dostępnych dla osób niepełnosprawnych, o których mowa w art. 1 Konwencji o prawach osób niepełnosprawnych, sporządzonej w Nowym Jorku dnia 13 grudnia 2006 r. (Dz. U. z 2012 r. poz. 1169 oraz z 2018 r. poz. 1217), w tym osób starszych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_Toc153546908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09" w:history="1">
        <w:r w:rsidR="005559A8" w:rsidRPr="005559A8">
          <w:rPr>
            <w:rStyle w:val="Hipercze"/>
            <w:sz w:val="16"/>
            <w:szCs w:val="16"/>
          </w:rPr>
          <w:t>8) opis zapewnienia niezbędnych warunków do korzystania z obiektów użyteczności publicznej i mieszkaniowego budownictwa wielorodzinnego przez osoby niepełnosprawne, o których mowa w art. 1 Konwencji o prawach osób niepełno-sprawnych, sporządzonej w Nowym Jorku dnia 13 grudnia 2006 r., w tym osoby starsze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_Toc153546909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5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0" w:history="1">
        <w:r w:rsidR="005559A8" w:rsidRPr="005559A8">
          <w:rPr>
            <w:rStyle w:val="Hipercze"/>
            <w:sz w:val="16"/>
            <w:szCs w:val="16"/>
          </w:rPr>
          <w:t>9) parametry techniczne obiektu budowlanego charakteryzujące wpływ obiektu budowlanego na środowisko i jego wykorzystywanie oraz na zdrowie ludzi i obiekty sąsiednie pod względem: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_Toc153546910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1" w:history="1">
        <w:r w:rsidR="005559A8" w:rsidRPr="005559A8">
          <w:rPr>
            <w:rStyle w:val="Hipercze"/>
            <w:sz w:val="16"/>
            <w:szCs w:val="16"/>
          </w:rPr>
          <w:t>a) zapotrzebowania i jakości wody oraz ilości, jakości i sposobu odprowadzania ścieków oraz wód opadowych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_Toc153546911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2" w:history="1">
        <w:r w:rsidR="005559A8" w:rsidRPr="005559A8">
          <w:rPr>
            <w:rStyle w:val="Hipercze"/>
            <w:sz w:val="16"/>
            <w:szCs w:val="16"/>
          </w:rPr>
          <w:t>b) emisji zanieczyszczeń gazowych, w tym zapachów, pyłowych i płynnych, z podaniem ich rodzaju, ilości i zasięgu rozprzestrzeniania się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_Toc153546912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3" w:history="1">
        <w:r w:rsidR="005559A8" w:rsidRPr="005559A8">
          <w:rPr>
            <w:rStyle w:val="Hipercze"/>
            <w:sz w:val="16"/>
            <w:szCs w:val="16"/>
          </w:rPr>
          <w:t>c) rodzaju i ilości wytwarzanych odpadów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_Toc153546913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4" w:history="1">
        <w:r w:rsidR="005559A8" w:rsidRPr="005559A8">
          <w:rPr>
            <w:rStyle w:val="Hipercze"/>
            <w:sz w:val="16"/>
            <w:szCs w:val="16"/>
          </w:rPr>
          <w:t>d) właściwości akustycznych oraz emisji drgań, a także promieniowania, w szczególności jonizującego, pola elektro- magnetycznego i innych zakłóceń, z podaniem odpowiednich parametrów tych czynników i zasięgu ich rozprzestrzeniania się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_Toc153546914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5" w:history="1">
        <w:r w:rsidR="005559A8" w:rsidRPr="005559A8">
          <w:rPr>
            <w:rStyle w:val="Hipercze"/>
            <w:sz w:val="16"/>
            <w:szCs w:val="16"/>
          </w:rPr>
          <w:t>e) wpływu obiektu budowlanego na istniejący drzewostan, powierzchnię ziemi, w tym glebę, wody powierzchniowe i podziemne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_Toc153546915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6" w:history="1">
        <w:r w:rsidR="005559A8" w:rsidRPr="005559A8">
          <w:rPr>
            <w:rStyle w:val="Hipercze"/>
            <w:sz w:val="16"/>
            <w:szCs w:val="16"/>
          </w:rPr>
          <w:t>– uwzględniając, że przyjęte w projekcie budowlanym rozwiązania przestrzenne, funkcjonalne i techniczne powinny wykazywać ograniczenie lub eliminację wpływu obiektu budowlanego na środowisko przyrodnicze, zdrowie ludzi i inne obiekty budowlane, zgodnie z odrębnymi przepisami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_Toc153546916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6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7" w:history="1">
        <w:r w:rsidR="005559A8" w:rsidRPr="005559A8">
          <w:rPr>
            <w:rStyle w:val="Hipercze"/>
            <w:sz w:val="16"/>
            <w:szCs w:val="16"/>
          </w:rPr>
          <w:t>10) w przypadku zamierzenia budowlanego dotyczącego budynku – analizę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ciepła, określającą: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_Toc153546917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8" w:history="1">
        <w:r w:rsidR="005559A8" w:rsidRPr="005559A8">
          <w:rPr>
            <w:rStyle w:val="Hipercze"/>
            <w:sz w:val="16"/>
            <w:szCs w:val="16"/>
          </w:rPr>
          <w:t>a) oszacowanie rocznego zapotrzebowania na energię użytkową do ogrzewania, wentylacji, przygotowania ciepłej wody użytkowej,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_Toc153546918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19" w:history="1">
        <w:r w:rsidR="005559A8" w:rsidRPr="005559A8">
          <w:rPr>
            <w:rStyle w:val="Hipercze"/>
            <w:sz w:val="16"/>
            <w:szCs w:val="16"/>
          </w:rPr>
          <w:t>b) dostępne nośniki energii,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_Toc153546919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0" w:history="1">
        <w:r w:rsidR="005559A8" w:rsidRPr="005559A8">
          <w:rPr>
            <w:rStyle w:val="Hipercze"/>
            <w:sz w:val="16"/>
            <w:szCs w:val="16"/>
          </w:rPr>
          <w:t>c) wybór dwóch systemów zaopatrzenia w energię do analizy porównawczej: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_Toc153546920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1" w:history="1">
        <w:r w:rsidR="005559A8" w:rsidRPr="005559A8">
          <w:rPr>
            <w:rStyle w:val="Hipercze"/>
            <w:sz w:val="16"/>
            <w:szCs w:val="16"/>
          </w:rPr>
          <w:t>– systemu konwencjonalnego oraz systemu alternatywnego albo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_Toc153546921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2" w:history="1">
        <w:r w:rsidR="005559A8" w:rsidRPr="005559A8">
          <w:rPr>
            <w:rStyle w:val="Hipercze"/>
            <w:sz w:val="16"/>
            <w:szCs w:val="16"/>
          </w:rPr>
          <w:t>– systemu konwencjonalnego oraz systemu hybrydowego, rozumianego jako połączenie systemu konwencjonalnego i alternatywnego,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_Toc153546922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3" w:history="1">
        <w:r w:rsidR="005559A8" w:rsidRPr="005559A8">
          <w:rPr>
            <w:rStyle w:val="Hipercze"/>
            <w:sz w:val="16"/>
            <w:szCs w:val="16"/>
          </w:rPr>
          <w:t>d) obliczenia optymalizacyjno-porównawcze dla wybranych systemów zaopatrzenia w energię,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_Toc153546923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4" w:history="1">
        <w:r w:rsidR="005559A8" w:rsidRPr="005559A8">
          <w:rPr>
            <w:rStyle w:val="Hipercze"/>
            <w:sz w:val="16"/>
            <w:szCs w:val="16"/>
          </w:rPr>
          <w:t>e) wyniki analizy porównawczej i wybór systemu zaopatrzenia w energię;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_Toc153546924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5" w:history="1">
        <w:r w:rsidR="005559A8" w:rsidRPr="005559A8">
          <w:rPr>
            <w:rStyle w:val="Hipercze"/>
            <w:sz w:val="16"/>
            <w:szCs w:val="16"/>
          </w:rPr>
          <w:t>11) w stosunku do budynku – analizę technicznych i ekonomicznych możliwości wykorzystania urządzeń, które automatycznie regulują temperaturę oddzielnie w poszczególnych pomieszczeniach lub w wyznaczonej strefie ogrzewanej, zgodnie z § 135 ust. 7–10 i § 147 ust. 5–7 rozporządzenia Ministra Infrastruktury z dnia 12 kwietnia 2002 r. w sprawie warunków technicznych, jakim powinny odpowiadać budynki i ich usytuowanie (Dz. U. z 2019 r. poz. 1065 oraz z 2020 r. poz. 1608);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_Toc153546925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6" w:history="1">
        <w:r w:rsidR="005559A8" w:rsidRPr="005559A8">
          <w:rPr>
            <w:rStyle w:val="Hipercze"/>
            <w:sz w:val="16"/>
            <w:szCs w:val="16"/>
          </w:rPr>
          <w:t>12) informacje o zasadniczych elementach wyposażenia budowlano-instalacyjnego, zapewniających użytkowanie obiektu budowlanego zgodnie z przeznaczeniem;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_Toc153546926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7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7" w:history="1">
        <w:r w:rsidR="005559A8" w:rsidRPr="005559A8">
          <w:rPr>
            <w:rStyle w:val="Hipercze"/>
            <w:sz w:val="16"/>
            <w:szCs w:val="16"/>
          </w:rPr>
          <w:t>13) dane dotyczące warunków ochrony przeciwpożarowej, stosownie do zakresu projektu.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_Toc153546927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8</w:t>
        </w:r>
        <w:r w:rsidRPr="005559A8">
          <w:rPr>
            <w:webHidden/>
          </w:rPr>
          <w:fldChar w:fldCharType="end"/>
        </w:r>
      </w:hyperlink>
    </w:p>
    <w:p w:rsidR="005559A8" w:rsidRPr="005559A8" w:rsidRDefault="005A112E" w:rsidP="005559A8">
      <w:pPr>
        <w:pStyle w:val="Spistreci2"/>
        <w:rPr>
          <w:rFonts w:asciiTheme="minorHAnsi" w:eastAsiaTheme="minorEastAsia" w:hAnsiTheme="minorHAnsi" w:cstheme="minorBidi"/>
        </w:rPr>
      </w:pPr>
      <w:hyperlink w:anchor="_Toc153546928" w:history="1">
        <w:r w:rsidR="005559A8" w:rsidRPr="005559A8">
          <w:rPr>
            <w:rStyle w:val="Hipercze"/>
            <w:sz w:val="16"/>
            <w:szCs w:val="16"/>
          </w:rPr>
          <w:t>2. Część opisowa projektu architektoniczno-budowlanego zawiera informację o zgodzie na odstępstwo, o którym mowa w art. 9 ustawy, lub o zgodzie udzielonej w postanowieniu, o którym mowa w art. 6a ust. 2 ustawy z dnia 24 sierpnia 1991 r. o ochronie przeciwpożarowej (Dz. U. z 2020 r. poz. 961), jeżeli zostały wydane.</w:t>
        </w:r>
        <w:r w:rsidR="005559A8" w:rsidRPr="005559A8">
          <w:rPr>
            <w:webHidden/>
          </w:rPr>
          <w:tab/>
        </w:r>
        <w:r w:rsidRPr="005559A8">
          <w:rPr>
            <w:webHidden/>
          </w:rPr>
          <w:fldChar w:fldCharType="begin"/>
        </w:r>
        <w:r w:rsidR="005559A8" w:rsidRPr="005559A8">
          <w:rPr>
            <w:webHidden/>
          </w:rPr>
          <w:instrText xml:space="preserve"> PAGEREF _Toc153546928 \h </w:instrText>
        </w:r>
        <w:r w:rsidRPr="005559A8">
          <w:rPr>
            <w:webHidden/>
          </w:rPr>
        </w:r>
        <w:r w:rsidRPr="005559A8">
          <w:rPr>
            <w:webHidden/>
          </w:rPr>
          <w:fldChar w:fldCharType="separate"/>
        </w:r>
        <w:r w:rsidR="00612E3B">
          <w:rPr>
            <w:webHidden/>
          </w:rPr>
          <w:t>8</w:t>
        </w:r>
        <w:r w:rsidRPr="005559A8">
          <w:rPr>
            <w:webHidden/>
          </w:rPr>
          <w:fldChar w:fldCharType="end"/>
        </w:r>
      </w:hyperlink>
    </w:p>
    <w:p w:rsidR="006B5833" w:rsidRDefault="005A112E" w:rsidP="00E55CD0">
      <w:pPr>
        <w:jc w:val="both"/>
        <w:rPr>
          <w:rFonts w:cs="Arial"/>
          <w:sz w:val="20"/>
        </w:rPr>
      </w:pPr>
      <w:r w:rsidRPr="005559A8">
        <w:rPr>
          <w:rFonts w:cs="Arial"/>
          <w:sz w:val="16"/>
          <w:szCs w:val="16"/>
        </w:rPr>
        <w:fldChar w:fldCharType="end"/>
      </w:r>
    </w:p>
    <w:p w:rsidR="006B5833" w:rsidRPr="00B7647E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Pr="005533D6" w:rsidRDefault="006B5833" w:rsidP="006B5833">
      <w:pPr>
        <w:pStyle w:val="Nagowek2T"/>
        <w:numPr>
          <w:ilvl w:val="0"/>
          <w:numId w:val="0"/>
        </w:numPr>
        <w:ind w:left="510"/>
        <w:rPr>
          <w:rFonts w:cs="Arial"/>
          <w:i/>
          <w:sz w:val="31"/>
          <w:szCs w:val="31"/>
        </w:rPr>
      </w:pPr>
      <w:bookmarkStart w:id="0" w:name="_Toc86318590"/>
      <w:bookmarkStart w:id="1" w:name="_Toc153546892"/>
      <w:r w:rsidRPr="005533D6">
        <w:rPr>
          <w:rFonts w:cs="Arial"/>
          <w:i/>
          <w:sz w:val="31"/>
          <w:szCs w:val="31"/>
        </w:rPr>
        <w:t xml:space="preserve">CZĘŚĆ </w:t>
      </w:r>
      <w:r>
        <w:rPr>
          <w:rFonts w:cs="Arial"/>
          <w:i/>
          <w:sz w:val="31"/>
          <w:szCs w:val="31"/>
        </w:rPr>
        <w:t>II</w:t>
      </w:r>
      <w:r w:rsidRPr="005533D6">
        <w:rPr>
          <w:rFonts w:cs="Arial"/>
          <w:i/>
          <w:sz w:val="31"/>
          <w:szCs w:val="31"/>
        </w:rPr>
        <w:t xml:space="preserve"> - PROJEKT ARCHITEKTONICZNO-BUDOWLANY</w:t>
      </w:r>
      <w:bookmarkEnd w:id="0"/>
      <w:bookmarkEnd w:id="1"/>
    </w:p>
    <w:p w:rsidR="006B5833" w:rsidRPr="00B7647E" w:rsidRDefault="006B5833" w:rsidP="006B5833">
      <w:pPr>
        <w:spacing w:line="276" w:lineRule="auto"/>
        <w:jc w:val="both"/>
        <w:rPr>
          <w:sz w:val="20"/>
        </w:rPr>
      </w:pPr>
    </w:p>
    <w:p w:rsidR="006B5833" w:rsidRDefault="006B5833" w:rsidP="006B5833">
      <w:pPr>
        <w:spacing w:line="276" w:lineRule="auto"/>
        <w:jc w:val="both"/>
        <w:rPr>
          <w:sz w:val="20"/>
        </w:rPr>
      </w:pPr>
    </w:p>
    <w:p w:rsidR="006B5833" w:rsidRPr="00B7647E" w:rsidRDefault="006B5833" w:rsidP="006B5833">
      <w:pPr>
        <w:spacing w:line="276" w:lineRule="auto"/>
        <w:jc w:val="both"/>
        <w:rPr>
          <w:sz w:val="20"/>
        </w:rPr>
      </w:pPr>
    </w:p>
    <w:p w:rsidR="006B5833" w:rsidRPr="00B7647E" w:rsidRDefault="006B5833" w:rsidP="006B5833">
      <w:pPr>
        <w:spacing w:line="360" w:lineRule="auto"/>
        <w:ind w:firstLine="708"/>
        <w:rPr>
          <w:b/>
          <w:bCs/>
          <w:i/>
          <w:iCs/>
          <w:sz w:val="20"/>
        </w:rPr>
      </w:pPr>
      <w:r w:rsidRPr="00B7647E">
        <w:rPr>
          <w:b/>
          <w:bCs/>
          <w:i/>
          <w:iCs/>
          <w:sz w:val="20"/>
        </w:rPr>
        <w:t>SPIS RYSUNKÓW:</w:t>
      </w:r>
    </w:p>
    <w:p w:rsidR="006B5833" w:rsidRPr="00870C60" w:rsidRDefault="001C27FC" w:rsidP="008C3816">
      <w:pPr>
        <w:pStyle w:val="Nagwek9"/>
        <w:spacing w:line="360" w:lineRule="auto"/>
        <w:rPr>
          <w:sz w:val="20"/>
        </w:rPr>
      </w:pPr>
      <w:r>
        <w:rPr>
          <w:sz w:val="20"/>
        </w:rPr>
        <w:t>Rys. 2.</w:t>
      </w:r>
      <w:r w:rsidR="006B5833" w:rsidRPr="00870C60">
        <w:rPr>
          <w:sz w:val="20"/>
        </w:rPr>
        <w:t xml:space="preserve">  Profile podłużne </w:t>
      </w:r>
      <w:r>
        <w:rPr>
          <w:sz w:val="20"/>
        </w:rPr>
        <w:t>wod</w:t>
      </w:r>
      <w:r w:rsidR="006B5833" w:rsidRPr="00870C60">
        <w:rPr>
          <w:sz w:val="20"/>
        </w:rPr>
        <w:t>ociągów</w:t>
      </w:r>
    </w:p>
    <w:p w:rsidR="006B5833" w:rsidRDefault="006B5833" w:rsidP="006B5833">
      <w:pPr>
        <w:pStyle w:val="Nagwek9"/>
        <w:spacing w:line="276" w:lineRule="auto"/>
        <w:rPr>
          <w:sz w:val="20"/>
        </w:rPr>
      </w:pPr>
    </w:p>
    <w:p w:rsidR="006B5833" w:rsidRPr="00937984" w:rsidRDefault="006B5833" w:rsidP="006B5833"/>
    <w:p w:rsidR="006B5833" w:rsidRDefault="006B5833" w:rsidP="006B5833"/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  <w:r>
        <w:rPr>
          <w:sz w:val="20"/>
        </w:rPr>
        <w:tab/>
      </w: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6B5833" w:rsidRDefault="006B5833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434427" w:rsidRDefault="00434427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434427" w:rsidRDefault="00434427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434427" w:rsidRDefault="00434427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65608" w:rsidRDefault="00C65608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65608" w:rsidRDefault="00C65608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65608" w:rsidRDefault="00C65608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Pr="00512924" w:rsidRDefault="00C572E2" w:rsidP="00512924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" w:name="_Toc153546893"/>
      <w:r w:rsidRPr="00512924">
        <w:rPr>
          <w:rFonts w:cs="Arial"/>
          <w:i/>
          <w:sz w:val="22"/>
          <w:szCs w:val="22"/>
        </w:rPr>
        <w:lastRenderedPageBreak/>
        <w:t>1) rodzaj i kategorię obiektu budowlanego będącego przedmiotem zamierzenia budowlanego</w:t>
      </w:r>
      <w:bookmarkEnd w:id="2"/>
    </w:p>
    <w:p w:rsidR="00C572E2" w:rsidRPr="00BA406C" w:rsidRDefault="004834F3" w:rsidP="004834F3">
      <w:pPr>
        <w:tabs>
          <w:tab w:val="left" w:pos="709"/>
        </w:tabs>
        <w:spacing w:line="276" w:lineRule="auto"/>
        <w:jc w:val="both"/>
        <w:rPr>
          <w:i/>
          <w:sz w:val="20"/>
        </w:rPr>
      </w:pPr>
      <w:r w:rsidRPr="00BA406C">
        <w:rPr>
          <w:i/>
          <w:sz w:val="20"/>
        </w:rPr>
        <w:tab/>
      </w:r>
      <w:r w:rsidR="002B2653" w:rsidRPr="002B2653">
        <w:rPr>
          <w:i/>
          <w:sz w:val="20"/>
        </w:rPr>
        <w:t>Projekt przebudowy sieci wodociągowych wraz z przyłączami w Ligocie pn. Wykonanie projektów na modernizację sieci wodociągowych przy ul. Bronowskiej i Wolnej w Ligocie</w:t>
      </w:r>
      <w:r w:rsidRPr="00BA406C">
        <w:rPr>
          <w:i/>
          <w:sz w:val="20"/>
        </w:rPr>
        <w:t>.</w:t>
      </w:r>
    </w:p>
    <w:p w:rsidR="00DD3CFA" w:rsidRDefault="00DD3CFA" w:rsidP="004834F3">
      <w:pPr>
        <w:tabs>
          <w:tab w:val="left" w:pos="709"/>
        </w:tabs>
        <w:spacing w:line="276" w:lineRule="auto"/>
        <w:jc w:val="both"/>
        <w:rPr>
          <w:sz w:val="20"/>
        </w:rPr>
      </w:pPr>
      <w:r>
        <w:rPr>
          <w:sz w:val="20"/>
        </w:rPr>
        <w:tab/>
      </w:r>
      <w:r w:rsidRPr="00DD3CFA">
        <w:rPr>
          <w:sz w:val="20"/>
        </w:rPr>
        <w:t>Kategoria obiektu budowlanego: I - przyłącze, XXVI - sieć</w:t>
      </w:r>
    </w:p>
    <w:p w:rsidR="00C572E2" w:rsidRPr="00512924" w:rsidRDefault="00C572E2" w:rsidP="00512924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" w:name="_Toc153546894"/>
      <w:r w:rsidRPr="00512924">
        <w:rPr>
          <w:rFonts w:cs="Arial"/>
          <w:i/>
          <w:sz w:val="22"/>
          <w:szCs w:val="22"/>
        </w:rPr>
        <w:t>2) zamierzony sposób użytkowania oraz program użytkowy obiektu budowlanego</w:t>
      </w:r>
      <w:bookmarkEnd w:id="3"/>
    </w:p>
    <w:p w:rsidR="00B47B19" w:rsidRPr="004D324C" w:rsidRDefault="00B47B19" w:rsidP="00B47B19">
      <w:pPr>
        <w:spacing w:line="276" w:lineRule="auto"/>
        <w:ind w:firstLine="708"/>
        <w:jc w:val="both"/>
        <w:rPr>
          <w:sz w:val="20"/>
        </w:rPr>
      </w:pPr>
      <w:r>
        <w:rPr>
          <w:sz w:val="20"/>
        </w:rPr>
        <w:t>Realizacja inwestycji, to d</w:t>
      </w:r>
      <w:r w:rsidRPr="004D324C">
        <w:rPr>
          <w:sz w:val="20"/>
        </w:rPr>
        <w:t>oprowadzenie</w:t>
      </w:r>
      <w:r>
        <w:rPr>
          <w:sz w:val="20"/>
        </w:rPr>
        <w:t xml:space="preserve"> wody</w:t>
      </w:r>
      <w:r w:rsidRPr="004D324C">
        <w:rPr>
          <w:sz w:val="20"/>
        </w:rPr>
        <w:t xml:space="preserve"> do</w:t>
      </w:r>
      <w:r>
        <w:rPr>
          <w:sz w:val="20"/>
        </w:rPr>
        <w:t xml:space="preserve"> </w:t>
      </w:r>
      <w:r w:rsidRPr="004D324C">
        <w:rPr>
          <w:sz w:val="20"/>
        </w:rPr>
        <w:t>budynk</w:t>
      </w:r>
      <w:r>
        <w:rPr>
          <w:sz w:val="20"/>
        </w:rPr>
        <w:t>ów</w:t>
      </w:r>
      <w:r w:rsidRPr="004D324C">
        <w:rPr>
          <w:sz w:val="20"/>
        </w:rPr>
        <w:t xml:space="preserve"> </w:t>
      </w:r>
      <w:r w:rsidRPr="00647038">
        <w:rPr>
          <w:sz w:val="20"/>
        </w:rPr>
        <w:t>mieszkaln</w:t>
      </w:r>
      <w:r>
        <w:rPr>
          <w:sz w:val="20"/>
        </w:rPr>
        <w:t>ych i usługowych,</w:t>
      </w:r>
      <w:r w:rsidRPr="004D324C">
        <w:rPr>
          <w:sz w:val="20"/>
        </w:rPr>
        <w:t xml:space="preserve"> przez </w:t>
      </w:r>
      <w:r>
        <w:rPr>
          <w:sz w:val="20"/>
        </w:rPr>
        <w:t>prze</w:t>
      </w:r>
      <w:r w:rsidRPr="004D324C">
        <w:rPr>
          <w:sz w:val="20"/>
        </w:rPr>
        <w:t xml:space="preserve">budowę </w:t>
      </w:r>
      <w:r w:rsidRPr="00E94CBC">
        <w:rPr>
          <w:sz w:val="20"/>
        </w:rPr>
        <w:t>wodociągów</w:t>
      </w:r>
      <w:r w:rsidRPr="004D324C">
        <w:rPr>
          <w:sz w:val="20"/>
        </w:rPr>
        <w:t>, włączon</w:t>
      </w:r>
      <w:r>
        <w:rPr>
          <w:sz w:val="20"/>
        </w:rPr>
        <w:t>ych</w:t>
      </w:r>
      <w:r w:rsidRPr="004D324C">
        <w:rPr>
          <w:sz w:val="20"/>
        </w:rPr>
        <w:t xml:space="preserve"> do istniejącej sieci zgodnie z warunkami technicznymi wydanymi przez dysponenta sieci rozdzielczej.</w:t>
      </w:r>
    </w:p>
    <w:p w:rsidR="00C572E2" w:rsidRPr="00512924" w:rsidRDefault="00C572E2" w:rsidP="00512924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" w:name="_Toc153546895"/>
      <w:r w:rsidRPr="00512924">
        <w:rPr>
          <w:rFonts w:cs="Arial"/>
          <w:i/>
          <w:sz w:val="22"/>
          <w:szCs w:val="22"/>
        </w:rPr>
        <w:t>3) układ przestrzenny oraz formę architektoniczną obiektu budowlanego, w tym jego wygląd zewnętrzny, uwzględniając charakterystyczne wyroby wykończeniowe i kolorystykę elewacji, a także sposób jego dostosowania do warunków wynikających z wymaganych przepisami szczególnymi pozwoleń, uzgodnień lub opinii innych organów, o których mowa w art. 32 ust. 1 pkt 2 ustawy, lub ustaleń miejscowego planu zagospodarowania przestrzennego, a w przypadku jego braku – z decyzji o warunkach zabudowy i zagospodarowania terenu albo uchwały o ustaleniu lokalizacji inwestycji mieszkaniowej lub inwestycji towarzyszących.</w:t>
      </w:r>
      <w:bookmarkEnd w:id="4"/>
    </w:p>
    <w:p w:rsidR="00C07F43" w:rsidRPr="00F21A9A" w:rsidRDefault="00C07F43" w:rsidP="00C07F43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54372E" w:rsidRDefault="00C572E2" w:rsidP="0054372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5" w:name="_Toc153546896"/>
      <w:r w:rsidRPr="0054372E">
        <w:rPr>
          <w:rFonts w:cs="Arial"/>
          <w:i/>
          <w:sz w:val="22"/>
          <w:szCs w:val="22"/>
        </w:rPr>
        <w:t>4) charakterystyczne parametry obiektu budowlanego, w szczególności:</w:t>
      </w:r>
      <w:bookmarkEnd w:id="5"/>
    </w:p>
    <w:p w:rsidR="00C572E2" w:rsidRPr="0054372E" w:rsidRDefault="00C572E2" w:rsidP="0054372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6" w:name="_Toc153546897"/>
      <w:r w:rsidRPr="0054372E">
        <w:rPr>
          <w:rFonts w:cs="Arial"/>
          <w:i/>
          <w:sz w:val="22"/>
          <w:szCs w:val="22"/>
        </w:rPr>
        <w:t>a) kubaturę</w:t>
      </w:r>
      <w:bookmarkEnd w:id="6"/>
    </w:p>
    <w:p w:rsidR="002B6055" w:rsidRPr="00F21A9A" w:rsidRDefault="002B6055" w:rsidP="002B6055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54372E" w:rsidRDefault="00C572E2" w:rsidP="0054372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7" w:name="_Toc153546898"/>
      <w:r w:rsidRPr="0054372E">
        <w:rPr>
          <w:rFonts w:cs="Arial"/>
          <w:i/>
          <w:sz w:val="22"/>
          <w:szCs w:val="22"/>
        </w:rPr>
        <w:t>b) zestawienie powierzchni, przy czym:</w:t>
      </w:r>
      <w:bookmarkEnd w:id="7"/>
    </w:p>
    <w:p w:rsidR="00C572E2" w:rsidRPr="0054372E" w:rsidRDefault="00C572E2" w:rsidP="0054372E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8" w:name="_Toc153546899"/>
      <w:r w:rsidRPr="0054372E">
        <w:rPr>
          <w:rFonts w:cs="Arial"/>
          <w:i/>
          <w:sz w:val="22"/>
          <w:szCs w:val="22"/>
        </w:rPr>
        <w:t>– powierzchnię użytkową budynku pomniejsza się o powierzchnię: przekroju poziomego wszystkich wewnętrznych przegród budowlanych, przejść i otworów w tych przegrodach, przejść w przegrodach zewnętrznych, balkonów, tarasów, loggii, schodów wewnętrznych i podestów w lokalach mieszkalnych wielopoziomowych, nieużytkowych poddaszy</w:t>
      </w:r>
      <w:bookmarkEnd w:id="8"/>
    </w:p>
    <w:p w:rsidR="002B6055" w:rsidRPr="00F21A9A" w:rsidRDefault="002B6055" w:rsidP="002B6055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9" w:name="_Toc153546900"/>
      <w:r w:rsidRPr="00C95C0C">
        <w:rPr>
          <w:rFonts w:cs="Arial"/>
          <w:i/>
          <w:sz w:val="22"/>
          <w:szCs w:val="22"/>
        </w:rPr>
        <w:t>– powierzchnię użytkową budynku powiększa się o powierzchnię: antresol, ogrodów zimowych oraz wbudowanych, ściennych szaf, schowków i garderób</w:t>
      </w:r>
      <w:bookmarkEnd w:id="9"/>
    </w:p>
    <w:p w:rsidR="002B6055" w:rsidRPr="00F21A9A" w:rsidRDefault="002B6055" w:rsidP="002B6055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0" w:name="_Toc153546901"/>
      <w:r w:rsidRPr="00C95C0C">
        <w:rPr>
          <w:rFonts w:cs="Arial"/>
          <w:i/>
          <w:sz w:val="22"/>
          <w:szCs w:val="22"/>
        </w:rPr>
        <w:t>– przy określaniu powierzchni użytkowej powierzchnię pomieszczeń lub ich części o wysokości w świetle równej lub większej od 2,20 m zalicza się do obliczeń w 100%, o wysokości równej lub większej od 1,40 m, lecz mniejszej od 2,20 m – w 50%, natomiast o wysokości mniejszej od 1,40 m pomija się całkowicie</w:t>
      </w:r>
      <w:bookmarkEnd w:id="10"/>
    </w:p>
    <w:p w:rsidR="002B6055" w:rsidRPr="00F21A9A" w:rsidRDefault="002B6055" w:rsidP="002B6055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1" w:name="_Toc153546902"/>
      <w:r w:rsidRPr="00C95C0C">
        <w:rPr>
          <w:rFonts w:cs="Arial"/>
          <w:i/>
          <w:sz w:val="22"/>
          <w:szCs w:val="22"/>
        </w:rPr>
        <w:t>– przy określaniu zestawienia powierzchni użytkowej lokali mieszkalnych przez lokal mieszkalny należy rozumieć wydzielone trwałymi ścianami w obrębie budynku pomieszczenie lub zespół pomieszczeń przeznaczonych na stały pobyt ludzi, które wraz z pomieszczeniami pomocniczymi służą zaspokajaniu ich potrzeb mieszkaniowych</w:t>
      </w:r>
      <w:bookmarkEnd w:id="11"/>
    </w:p>
    <w:p w:rsidR="002B6055" w:rsidRPr="00F21A9A" w:rsidRDefault="002B6055" w:rsidP="002B6055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993ECE" w:rsidRDefault="00C572E2" w:rsidP="002E0401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2" w:name="_Toc153546903"/>
      <w:r w:rsidRPr="00C3115B">
        <w:rPr>
          <w:rFonts w:cs="Arial"/>
          <w:i/>
          <w:sz w:val="22"/>
          <w:szCs w:val="22"/>
        </w:rPr>
        <w:lastRenderedPageBreak/>
        <w:t>c) wysokość, długość, szerokość, średnicę</w:t>
      </w:r>
      <w:bookmarkEnd w:id="12"/>
    </w:p>
    <w:p w:rsidR="00FC63A6" w:rsidRPr="00F84DED" w:rsidRDefault="00FC63A6" w:rsidP="002E0401">
      <w:pPr>
        <w:tabs>
          <w:tab w:val="left" w:pos="709"/>
        </w:tabs>
        <w:jc w:val="both"/>
        <w:rPr>
          <w:sz w:val="14"/>
          <w:szCs w:val="14"/>
        </w:rPr>
      </w:pPr>
      <w:r w:rsidRPr="00F84DED">
        <w:rPr>
          <w:sz w:val="14"/>
          <w:szCs w:val="14"/>
        </w:rPr>
        <w:tab/>
      </w:r>
      <w:r w:rsidR="0066027C" w:rsidRPr="00F84DED">
        <w:rPr>
          <w:sz w:val="14"/>
          <w:szCs w:val="14"/>
        </w:rPr>
        <w:t>Zaprojektowano wodociągi o następujących średnicach</w:t>
      </w:r>
      <w:r w:rsidR="00EA58E2" w:rsidRPr="00F84DED">
        <w:rPr>
          <w:sz w:val="14"/>
          <w:szCs w:val="14"/>
        </w:rPr>
        <w:t xml:space="preserve"> zewnętrznych [dz]</w:t>
      </w:r>
      <w:r w:rsidR="0066027C" w:rsidRPr="00F84DED">
        <w:rPr>
          <w:sz w:val="14"/>
          <w:szCs w:val="14"/>
        </w:rPr>
        <w:t xml:space="preserve"> i długościach</w:t>
      </w:r>
      <w:r w:rsidR="00EA58E2" w:rsidRPr="00F84DED">
        <w:rPr>
          <w:sz w:val="14"/>
          <w:szCs w:val="14"/>
        </w:rPr>
        <w:t xml:space="preserve"> [L]:  dz40</w:t>
      </w:r>
      <w:r w:rsidR="006822C9">
        <w:rPr>
          <w:sz w:val="14"/>
          <w:szCs w:val="14"/>
        </w:rPr>
        <w:t>x3,7</w:t>
      </w:r>
      <w:r w:rsidR="000B6E36" w:rsidRPr="00F84DED">
        <w:rPr>
          <w:sz w:val="14"/>
          <w:szCs w:val="14"/>
        </w:rPr>
        <w:t>mm</w:t>
      </w:r>
      <w:r w:rsidR="00EA58E2" w:rsidRPr="00F84DED">
        <w:rPr>
          <w:sz w:val="14"/>
          <w:szCs w:val="14"/>
        </w:rPr>
        <w:t xml:space="preserve"> PE100 RC SDR11,PN16 o L=229,5m, dz50</w:t>
      </w:r>
      <w:r w:rsidR="006822C9">
        <w:rPr>
          <w:sz w:val="14"/>
          <w:szCs w:val="14"/>
        </w:rPr>
        <w:t>x4,6</w:t>
      </w:r>
      <w:r w:rsidR="000B6E36" w:rsidRPr="00F84DED">
        <w:rPr>
          <w:sz w:val="14"/>
          <w:szCs w:val="14"/>
        </w:rPr>
        <w:t>mm</w:t>
      </w:r>
      <w:r w:rsidR="00EA58E2" w:rsidRPr="00F84DED">
        <w:rPr>
          <w:sz w:val="14"/>
          <w:szCs w:val="14"/>
        </w:rPr>
        <w:t xml:space="preserve"> PE100 RC SDR11,PN16 o L=119,0</w:t>
      </w:r>
      <w:r w:rsidR="00775D0A">
        <w:rPr>
          <w:sz w:val="14"/>
          <w:szCs w:val="14"/>
        </w:rPr>
        <w:t>m</w:t>
      </w:r>
      <w:r w:rsidR="00EA58E2" w:rsidRPr="00F84DED">
        <w:rPr>
          <w:sz w:val="14"/>
          <w:szCs w:val="14"/>
        </w:rPr>
        <w:t>, dz63</w:t>
      </w:r>
      <w:r w:rsidR="006822C9">
        <w:rPr>
          <w:sz w:val="14"/>
          <w:szCs w:val="14"/>
        </w:rPr>
        <w:t>x5,8</w:t>
      </w:r>
      <w:r w:rsidR="00B1134D" w:rsidRPr="00F84DED">
        <w:rPr>
          <w:sz w:val="14"/>
          <w:szCs w:val="14"/>
        </w:rPr>
        <w:t> mm</w:t>
      </w:r>
      <w:r w:rsidR="00EA58E2" w:rsidRPr="00F84DED">
        <w:rPr>
          <w:sz w:val="14"/>
          <w:szCs w:val="14"/>
        </w:rPr>
        <w:t xml:space="preserve"> </w:t>
      </w:r>
      <w:r w:rsidR="000B6E36" w:rsidRPr="00F84DED">
        <w:rPr>
          <w:sz w:val="14"/>
          <w:szCs w:val="14"/>
        </w:rPr>
        <w:t>PE100 RC SDR11,PN16 o L=</w:t>
      </w:r>
      <w:r w:rsidR="00EA58E2" w:rsidRPr="00F84DED">
        <w:rPr>
          <w:sz w:val="14"/>
          <w:szCs w:val="14"/>
        </w:rPr>
        <w:t>85,0</w:t>
      </w:r>
      <w:r w:rsidR="000B6E36" w:rsidRPr="00F84DED">
        <w:rPr>
          <w:sz w:val="14"/>
          <w:szCs w:val="14"/>
        </w:rPr>
        <w:t xml:space="preserve">m, </w:t>
      </w:r>
      <w:r w:rsidR="00EA58E2" w:rsidRPr="00F84DED">
        <w:rPr>
          <w:sz w:val="14"/>
          <w:szCs w:val="14"/>
        </w:rPr>
        <w:t>dz90</w:t>
      </w:r>
      <w:r w:rsidR="006822C9">
        <w:rPr>
          <w:sz w:val="14"/>
          <w:szCs w:val="14"/>
        </w:rPr>
        <w:t>x8,2</w:t>
      </w:r>
      <w:r w:rsidR="000B6E36" w:rsidRPr="00F84DED">
        <w:rPr>
          <w:sz w:val="14"/>
          <w:szCs w:val="14"/>
        </w:rPr>
        <w:t>mm</w:t>
      </w:r>
      <w:r w:rsidR="00EA58E2" w:rsidRPr="00F84DED">
        <w:rPr>
          <w:sz w:val="14"/>
          <w:szCs w:val="14"/>
        </w:rPr>
        <w:t xml:space="preserve"> </w:t>
      </w:r>
      <w:r w:rsidR="00B1134D" w:rsidRPr="00F84DED">
        <w:rPr>
          <w:sz w:val="14"/>
          <w:szCs w:val="14"/>
        </w:rPr>
        <w:t>PE100 RC SDR11,PN16 o L=</w:t>
      </w:r>
      <w:r w:rsidR="00EA58E2" w:rsidRPr="00F84DED">
        <w:rPr>
          <w:sz w:val="14"/>
          <w:szCs w:val="14"/>
        </w:rPr>
        <w:t>135,0</w:t>
      </w:r>
      <w:r w:rsidR="00B1134D" w:rsidRPr="00F84DED">
        <w:rPr>
          <w:sz w:val="14"/>
          <w:szCs w:val="14"/>
        </w:rPr>
        <w:t xml:space="preserve">m, </w:t>
      </w:r>
      <w:r w:rsidR="00EA58E2" w:rsidRPr="00F84DED">
        <w:rPr>
          <w:sz w:val="14"/>
          <w:szCs w:val="14"/>
        </w:rPr>
        <w:t>dz110</w:t>
      </w:r>
      <w:r w:rsidR="00A74B8B">
        <w:rPr>
          <w:sz w:val="14"/>
          <w:szCs w:val="14"/>
        </w:rPr>
        <w:t>z10,0</w:t>
      </w:r>
      <w:r w:rsidR="000B6E36" w:rsidRPr="00F84DED">
        <w:rPr>
          <w:sz w:val="14"/>
          <w:szCs w:val="14"/>
        </w:rPr>
        <w:t xml:space="preserve"> mm</w:t>
      </w:r>
      <w:r w:rsidR="00EA58E2" w:rsidRPr="00F84DED">
        <w:rPr>
          <w:sz w:val="14"/>
          <w:szCs w:val="14"/>
        </w:rPr>
        <w:t xml:space="preserve"> </w:t>
      </w:r>
      <w:r w:rsidR="00B1134D" w:rsidRPr="00F84DED">
        <w:rPr>
          <w:sz w:val="14"/>
          <w:szCs w:val="14"/>
        </w:rPr>
        <w:t>PE100 RC SDR11,PN16 o L=</w:t>
      </w:r>
      <w:r w:rsidR="00EA58E2" w:rsidRPr="00F84DED">
        <w:rPr>
          <w:sz w:val="14"/>
          <w:szCs w:val="14"/>
        </w:rPr>
        <w:t>293,5</w:t>
      </w:r>
      <w:r w:rsidR="001A63B5">
        <w:rPr>
          <w:sz w:val="14"/>
          <w:szCs w:val="14"/>
        </w:rPr>
        <w:t>m</w:t>
      </w:r>
      <w:r w:rsidR="00F635FF" w:rsidRPr="00F84DED">
        <w:rPr>
          <w:sz w:val="14"/>
          <w:szCs w:val="14"/>
        </w:rPr>
        <w:t xml:space="preserve">, </w:t>
      </w:r>
      <w:r w:rsidR="00EA58E2" w:rsidRPr="00F84DED">
        <w:rPr>
          <w:sz w:val="14"/>
          <w:szCs w:val="14"/>
        </w:rPr>
        <w:t>dz160</w:t>
      </w:r>
      <w:r w:rsidR="001A63B5">
        <w:rPr>
          <w:sz w:val="14"/>
          <w:szCs w:val="14"/>
        </w:rPr>
        <w:t>x14,6</w:t>
      </w:r>
      <w:r w:rsidR="000B6E36" w:rsidRPr="00F84DED">
        <w:rPr>
          <w:sz w:val="14"/>
          <w:szCs w:val="14"/>
        </w:rPr>
        <w:t xml:space="preserve"> mm</w:t>
      </w:r>
      <w:r w:rsidR="00EA58E2" w:rsidRPr="00F84DED">
        <w:rPr>
          <w:sz w:val="14"/>
          <w:szCs w:val="14"/>
        </w:rPr>
        <w:t xml:space="preserve"> </w:t>
      </w:r>
      <w:r w:rsidR="00B1134D" w:rsidRPr="00F84DED">
        <w:rPr>
          <w:sz w:val="14"/>
          <w:szCs w:val="14"/>
        </w:rPr>
        <w:t>PE100 RC SDR11,PN16 o L=</w:t>
      </w:r>
      <w:r w:rsidR="00EA58E2" w:rsidRPr="00F84DED">
        <w:rPr>
          <w:sz w:val="14"/>
          <w:szCs w:val="14"/>
        </w:rPr>
        <w:t>1,0</w:t>
      </w:r>
      <w:r w:rsidR="00B1134D" w:rsidRPr="00F84DED">
        <w:rPr>
          <w:sz w:val="14"/>
          <w:szCs w:val="14"/>
        </w:rPr>
        <w:t xml:space="preserve"> m</w:t>
      </w:r>
      <w:r w:rsidR="00F635FF" w:rsidRPr="00F84DED">
        <w:rPr>
          <w:sz w:val="14"/>
          <w:szCs w:val="14"/>
        </w:rPr>
        <w:t xml:space="preserve">, </w:t>
      </w:r>
      <w:r w:rsidR="00EA58E2" w:rsidRPr="00F84DED">
        <w:rPr>
          <w:sz w:val="14"/>
          <w:szCs w:val="14"/>
        </w:rPr>
        <w:t>dz180</w:t>
      </w:r>
      <w:r w:rsidR="001A63B5">
        <w:rPr>
          <w:sz w:val="14"/>
          <w:szCs w:val="14"/>
        </w:rPr>
        <w:t>x16,4</w:t>
      </w:r>
      <w:r w:rsidR="000B6E36" w:rsidRPr="00F84DED">
        <w:rPr>
          <w:sz w:val="14"/>
          <w:szCs w:val="14"/>
        </w:rPr>
        <w:t>mm</w:t>
      </w:r>
      <w:r w:rsidR="00EA58E2" w:rsidRPr="00F84DED">
        <w:rPr>
          <w:sz w:val="14"/>
          <w:szCs w:val="14"/>
        </w:rPr>
        <w:t xml:space="preserve"> </w:t>
      </w:r>
      <w:r w:rsidR="00B1134D" w:rsidRPr="00F84DED">
        <w:rPr>
          <w:sz w:val="14"/>
          <w:szCs w:val="14"/>
        </w:rPr>
        <w:t>PE100 RC SDR11,PN16 o L=</w:t>
      </w:r>
      <w:r w:rsidR="00EA58E2" w:rsidRPr="00F84DED">
        <w:rPr>
          <w:sz w:val="14"/>
          <w:szCs w:val="14"/>
        </w:rPr>
        <w:t>69,0</w:t>
      </w:r>
      <w:r w:rsidR="00B1134D" w:rsidRPr="00F84DED">
        <w:rPr>
          <w:sz w:val="14"/>
          <w:szCs w:val="14"/>
        </w:rPr>
        <w:t xml:space="preserve"> m</w:t>
      </w:r>
    </w:p>
    <w:p w:rsidR="00C572E2" w:rsidRPr="00C95C0C" w:rsidRDefault="00C572E2" w:rsidP="002E0401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3" w:name="_Toc153546904"/>
      <w:r w:rsidRPr="00C95C0C">
        <w:rPr>
          <w:rFonts w:cs="Arial"/>
          <w:i/>
          <w:sz w:val="22"/>
          <w:szCs w:val="22"/>
        </w:rPr>
        <w:t>d) liczbę kondygnacji</w:t>
      </w:r>
      <w:bookmarkEnd w:id="13"/>
    </w:p>
    <w:p w:rsidR="00737B1D" w:rsidRPr="00F21A9A" w:rsidRDefault="00737B1D" w:rsidP="00737B1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4" w:name="_Toc153546905"/>
      <w:r w:rsidRPr="00C95C0C">
        <w:rPr>
          <w:rFonts w:cs="Arial"/>
          <w:i/>
          <w:sz w:val="22"/>
          <w:szCs w:val="22"/>
        </w:rPr>
        <w:t>e) inne dane niż wskazane w lit. a–d niezbędne do stwierdzenia zgodności usytuowania obiektu z wymaganiami ochrony przeciwpożarowej</w:t>
      </w:r>
      <w:bookmarkEnd w:id="14"/>
    </w:p>
    <w:p w:rsidR="00737B1D" w:rsidRPr="00F21A9A" w:rsidRDefault="00737B1D" w:rsidP="00737B1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5" w:name="_Toc153546906"/>
      <w:r w:rsidRPr="008002D0">
        <w:rPr>
          <w:rFonts w:cs="Arial"/>
          <w:i/>
          <w:sz w:val="22"/>
          <w:szCs w:val="22"/>
        </w:rPr>
        <w:t>5) opinię geotechniczną oraz informację o sposobie p</w:t>
      </w:r>
      <w:r w:rsidR="004F7AB2" w:rsidRPr="008002D0">
        <w:rPr>
          <w:rFonts w:cs="Arial"/>
          <w:i/>
          <w:sz w:val="22"/>
          <w:szCs w:val="22"/>
        </w:rPr>
        <w:t>osadowienia obiektu budowlanego.</w:t>
      </w:r>
      <w:bookmarkEnd w:id="15"/>
    </w:p>
    <w:p w:rsidR="00E34347" w:rsidRDefault="00E34347" w:rsidP="00D55077">
      <w:pPr>
        <w:jc w:val="both"/>
        <w:rPr>
          <w:rFonts w:cs="Arial"/>
          <w:sz w:val="20"/>
        </w:rPr>
      </w:pPr>
      <w:r w:rsidRPr="00BE660A">
        <w:rPr>
          <w:rFonts w:cs="Arial"/>
          <w:sz w:val="20"/>
        </w:rPr>
        <w:tab/>
        <w:t xml:space="preserve">Hydrograficznie, teren ten należy do zlewni rzeki </w:t>
      </w:r>
      <w:r>
        <w:rPr>
          <w:rFonts w:cs="Arial"/>
          <w:sz w:val="20"/>
        </w:rPr>
        <w:t>Iłownica</w:t>
      </w:r>
      <w:r w:rsidRPr="00BE660A">
        <w:rPr>
          <w:rFonts w:cs="Arial"/>
          <w:sz w:val="20"/>
        </w:rPr>
        <w:t>, poprzez cieki lokalne.</w:t>
      </w:r>
      <w:r>
        <w:rPr>
          <w:rFonts w:cs="Arial"/>
          <w:sz w:val="20"/>
        </w:rPr>
        <w:t xml:space="preserve"> Głębokość posadowienia wodociągów będzie wynosić 1,42-1,9 mppt oraz będzie się cechować nieskomplikowaną konstrukcją</w:t>
      </w:r>
      <w:r w:rsidRPr="006049EF">
        <w:rPr>
          <w:rFonts w:cs="Arial"/>
          <w:sz w:val="20"/>
        </w:rPr>
        <w:t>.</w:t>
      </w:r>
    </w:p>
    <w:p w:rsidR="00E34347" w:rsidRDefault="00E34347" w:rsidP="00D55077">
      <w:pPr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Pr="00E37CB4">
        <w:rPr>
          <w:rFonts w:cs="Arial"/>
          <w:sz w:val="20"/>
        </w:rPr>
        <w:t xml:space="preserve">W </w:t>
      </w:r>
      <w:r>
        <w:rPr>
          <w:rFonts w:cs="Arial"/>
          <w:sz w:val="20"/>
        </w:rPr>
        <w:t>październiku</w:t>
      </w:r>
      <w:r w:rsidRPr="00E37CB4">
        <w:rPr>
          <w:rFonts w:cs="Arial"/>
          <w:sz w:val="20"/>
        </w:rPr>
        <w:t xml:space="preserve"> 20</w:t>
      </w:r>
      <w:r>
        <w:rPr>
          <w:rFonts w:cs="Arial"/>
          <w:sz w:val="20"/>
        </w:rPr>
        <w:t>23</w:t>
      </w:r>
      <w:r w:rsidRPr="00E37CB4">
        <w:rPr>
          <w:rFonts w:cs="Arial"/>
          <w:sz w:val="20"/>
        </w:rPr>
        <w:t>r w celu rozpoznania warunków gruntowo-wodnych dla całości inwestycji</w:t>
      </w:r>
      <w:r>
        <w:rPr>
          <w:rFonts w:cs="Arial"/>
          <w:sz w:val="20"/>
        </w:rPr>
        <w:t xml:space="preserve"> </w:t>
      </w:r>
      <w:r w:rsidRPr="00E37CB4">
        <w:rPr>
          <w:rFonts w:cs="Arial"/>
          <w:sz w:val="20"/>
        </w:rPr>
        <w:t>wykonano</w:t>
      </w:r>
      <w:r>
        <w:rPr>
          <w:rFonts w:cs="Arial"/>
          <w:sz w:val="20"/>
        </w:rPr>
        <w:t xml:space="preserve"> 2</w:t>
      </w:r>
      <w:r w:rsidRPr="00E37CB4">
        <w:rPr>
          <w:rFonts w:cs="Arial"/>
          <w:sz w:val="20"/>
        </w:rPr>
        <w:t xml:space="preserve"> otw</w:t>
      </w:r>
      <w:r>
        <w:rPr>
          <w:rFonts w:cs="Arial"/>
          <w:sz w:val="20"/>
        </w:rPr>
        <w:t>ory</w:t>
      </w:r>
      <w:r w:rsidRPr="00E37CB4">
        <w:rPr>
          <w:rFonts w:cs="Arial"/>
          <w:sz w:val="20"/>
        </w:rPr>
        <w:t xml:space="preserve"> badawcz</w:t>
      </w:r>
      <w:r>
        <w:rPr>
          <w:rFonts w:cs="Arial"/>
          <w:sz w:val="20"/>
        </w:rPr>
        <w:t>e</w:t>
      </w:r>
      <w:r w:rsidRPr="00E37CB4">
        <w:rPr>
          <w:rFonts w:cs="Arial"/>
          <w:sz w:val="20"/>
        </w:rPr>
        <w:t xml:space="preserve"> do głębokości </w:t>
      </w:r>
      <w:r>
        <w:rPr>
          <w:rFonts w:cs="Arial"/>
          <w:sz w:val="20"/>
        </w:rPr>
        <w:t>2,5</w:t>
      </w:r>
      <w:r w:rsidRPr="00E37CB4">
        <w:rPr>
          <w:rFonts w:cs="Arial"/>
          <w:sz w:val="20"/>
        </w:rPr>
        <w:t xml:space="preserve"> mppt.,</w:t>
      </w:r>
      <w:r>
        <w:rPr>
          <w:rFonts w:cs="Arial"/>
          <w:sz w:val="20"/>
        </w:rPr>
        <w:t xml:space="preserve"> </w:t>
      </w:r>
      <w:r w:rsidRPr="00E37CB4">
        <w:rPr>
          <w:rFonts w:cs="Arial"/>
          <w:sz w:val="20"/>
        </w:rPr>
        <w:t>a odwiert</w:t>
      </w:r>
      <w:r>
        <w:rPr>
          <w:rFonts w:cs="Arial"/>
          <w:sz w:val="20"/>
        </w:rPr>
        <w:t>y</w:t>
      </w:r>
      <w:r w:rsidRPr="00E37CB4">
        <w:rPr>
          <w:rFonts w:cs="Arial"/>
          <w:sz w:val="20"/>
        </w:rPr>
        <w:t xml:space="preserve"> oznaczono na map</w:t>
      </w:r>
      <w:r>
        <w:rPr>
          <w:rFonts w:cs="Arial"/>
          <w:sz w:val="20"/>
        </w:rPr>
        <w:t>ie</w:t>
      </w:r>
      <w:r w:rsidRPr="00E37CB4">
        <w:rPr>
          <w:rFonts w:cs="Arial"/>
          <w:sz w:val="20"/>
        </w:rPr>
        <w:t xml:space="preserve"> syt-wys PZT.</w:t>
      </w:r>
      <w:r>
        <w:rPr>
          <w:rFonts w:cs="Arial"/>
          <w:sz w:val="20"/>
        </w:rPr>
        <w:t xml:space="preserve"> </w:t>
      </w:r>
      <w:r w:rsidRPr="00E37CB4">
        <w:rPr>
          <w:rFonts w:cs="Arial"/>
          <w:sz w:val="20"/>
        </w:rPr>
        <w:t>W budowie geologicznej</w:t>
      </w:r>
      <w:r w:rsidRPr="00764DFA">
        <w:rPr>
          <w:rFonts w:cs="Arial"/>
          <w:sz w:val="20"/>
        </w:rPr>
        <w:t xml:space="preserve"> </w:t>
      </w:r>
      <w:r w:rsidRPr="00E37CB4">
        <w:rPr>
          <w:rFonts w:cs="Arial"/>
          <w:sz w:val="20"/>
        </w:rPr>
        <w:t>przedmiotowego terenu</w:t>
      </w:r>
      <w:r>
        <w:rPr>
          <w:rFonts w:cs="Arial"/>
          <w:sz w:val="20"/>
        </w:rPr>
        <w:t>,</w:t>
      </w:r>
      <w:r w:rsidRPr="00764DFA">
        <w:rPr>
          <w:rFonts w:cs="Arial"/>
          <w:sz w:val="20"/>
        </w:rPr>
        <w:t xml:space="preserve"> </w:t>
      </w:r>
      <w:r>
        <w:rPr>
          <w:rFonts w:cs="Arial"/>
          <w:sz w:val="20"/>
        </w:rPr>
        <w:t>l</w:t>
      </w:r>
      <w:r w:rsidRPr="00764DFA">
        <w:rPr>
          <w:rFonts w:cs="Arial"/>
          <w:sz w:val="20"/>
        </w:rPr>
        <w:t>itologicznie</w:t>
      </w:r>
      <w:r w:rsidRPr="00E37CB4">
        <w:rPr>
          <w:rFonts w:cs="Arial"/>
          <w:sz w:val="20"/>
        </w:rPr>
        <w:t xml:space="preserve"> udział biorą</w:t>
      </w:r>
      <w:r>
        <w:rPr>
          <w:rFonts w:cs="Arial"/>
          <w:sz w:val="20"/>
        </w:rPr>
        <w:t xml:space="preserve"> </w:t>
      </w:r>
      <w:r w:rsidRPr="00764DFA">
        <w:rPr>
          <w:rFonts w:cs="Arial"/>
          <w:sz w:val="20"/>
        </w:rPr>
        <w:t>iły, iły z soczewkami piasków, piaski i żwirowce ilaste.</w:t>
      </w:r>
      <w:r>
        <w:rPr>
          <w:rFonts w:cs="Arial"/>
          <w:sz w:val="20"/>
        </w:rPr>
        <w:t xml:space="preserve"> </w:t>
      </w:r>
      <w:r w:rsidRPr="00365B47">
        <w:rPr>
          <w:rFonts w:cs="Arial"/>
          <w:sz w:val="20"/>
        </w:rPr>
        <w:t>Na podstawie badań terenowych (wiercenie, badanie polowe), wydzieleń stratygraficznych, litologicznych oraz własności fizyko-mechanicznych gruntów wydzielono warstwy geotechniczne.</w:t>
      </w:r>
      <w:r>
        <w:rPr>
          <w:rFonts w:cs="Arial"/>
          <w:sz w:val="20"/>
        </w:rPr>
        <w:t xml:space="preserve"> </w:t>
      </w:r>
      <w:r w:rsidRPr="00BE660A">
        <w:rPr>
          <w:rFonts w:cs="Arial"/>
          <w:sz w:val="20"/>
        </w:rPr>
        <w:t>Przedmiotowe podłoże posiada budowę geologiczną regularną, w strefie posadowienia jednowarstwową</w:t>
      </w:r>
      <w:r>
        <w:rPr>
          <w:rFonts w:cs="Arial"/>
          <w:sz w:val="20"/>
        </w:rPr>
        <w:t>. W poziomie do głębokości 2</w:t>
      </w:r>
      <w:r w:rsidRPr="00BE660A">
        <w:rPr>
          <w:rFonts w:cs="Arial"/>
          <w:sz w:val="20"/>
        </w:rPr>
        <w:t>,5 mppt, występuje glina pylasta</w:t>
      </w:r>
      <w:r>
        <w:rPr>
          <w:rFonts w:cs="Arial"/>
          <w:sz w:val="20"/>
        </w:rPr>
        <w:t>, pyły i pyły z domieszką organiczną</w:t>
      </w:r>
      <w:r w:rsidRPr="00BE660A">
        <w:rPr>
          <w:rFonts w:cs="Arial"/>
          <w:sz w:val="20"/>
        </w:rPr>
        <w:t>. Podłoże jest nośne, średnio ściśliwe.</w:t>
      </w:r>
      <w:r>
        <w:rPr>
          <w:rFonts w:cs="Arial"/>
          <w:sz w:val="20"/>
        </w:rPr>
        <w:t xml:space="preserve"> Na głębokości do 2,5 </w:t>
      </w:r>
      <w:r w:rsidRPr="00BE660A">
        <w:rPr>
          <w:rFonts w:cs="Arial"/>
          <w:sz w:val="20"/>
        </w:rPr>
        <w:t>mppt</w:t>
      </w:r>
      <w:r>
        <w:rPr>
          <w:rFonts w:cs="Arial"/>
          <w:sz w:val="20"/>
        </w:rPr>
        <w:t>, nie stwierdzono występowania wody gruntowej</w:t>
      </w:r>
      <w:r w:rsidRPr="00FD3AE4">
        <w:rPr>
          <w:rFonts w:cs="Arial"/>
          <w:sz w:val="20"/>
        </w:rPr>
        <w:t xml:space="preserve"> w postaci ciągłego poziomu wodonośnego</w:t>
      </w:r>
      <w:r>
        <w:rPr>
          <w:rFonts w:cs="Arial"/>
          <w:sz w:val="20"/>
        </w:rPr>
        <w:t xml:space="preserve">. </w:t>
      </w:r>
      <w:r w:rsidRPr="00C95185">
        <w:rPr>
          <w:rFonts w:cs="Arial"/>
          <w:sz w:val="20"/>
        </w:rPr>
        <w:t xml:space="preserve">Ze względu na </w:t>
      </w:r>
      <w:r>
        <w:rPr>
          <w:rFonts w:cs="Arial"/>
          <w:sz w:val="20"/>
        </w:rPr>
        <w:t xml:space="preserve">wykonanie </w:t>
      </w:r>
      <w:r w:rsidRPr="00C95185">
        <w:rPr>
          <w:rFonts w:cs="Arial"/>
          <w:sz w:val="20"/>
        </w:rPr>
        <w:t>otwor</w:t>
      </w:r>
      <w:r>
        <w:rPr>
          <w:rFonts w:cs="Arial"/>
          <w:sz w:val="20"/>
        </w:rPr>
        <w:t>ów</w:t>
      </w:r>
      <w:r w:rsidRPr="00C95185">
        <w:rPr>
          <w:rFonts w:cs="Arial"/>
          <w:sz w:val="20"/>
        </w:rPr>
        <w:t xml:space="preserve"> badawcz</w:t>
      </w:r>
      <w:r>
        <w:rPr>
          <w:rFonts w:cs="Arial"/>
          <w:sz w:val="20"/>
        </w:rPr>
        <w:t>ych zbyt oddalonych od siebie</w:t>
      </w:r>
      <w:r w:rsidRPr="00C95185">
        <w:rPr>
          <w:rFonts w:cs="Arial"/>
          <w:sz w:val="20"/>
        </w:rPr>
        <w:t>, przekroj</w:t>
      </w:r>
      <w:r>
        <w:rPr>
          <w:rFonts w:cs="Arial"/>
          <w:sz w:val="20"/>
        </w:rPr>
        <w:t>ów</w:t>
      </w:r>
      <w:r w:rsidRPr="00C95185">
        <w:rPr>
          <w:rFonts w:cs="Arial"/>
          <w:sz w:val="20"/>
        </w:rPr>
        <w:t xml:space="preserve"> geotechniczn</w:t>
      </w:r>
      <w:r>
        <w:rPr>
          <w:rFonts w:cs="Arial"/>
          <w:sz w:val="20"/>
        </w:rPr>
        <w:t>ych</w:t>
      </w:r>
      <w:r w:rsidRPr="00C95185">
        <w:rPr>
          <w:rFonts w:cs="Arial"/>
          <w:sz w:val="20"/>
        </w:rPr>
        <w:t xml:space="preserve"> nie wykonano.</w:t>
      </w:r>
      <w:r>
        <w:rPr>
          <w:rFonts w:cs="Arial"/>
          <w:sz w:val="20"/>
        </w:rPr>
        <w:t xml:space="preserve"> Planowana inwestycja w maksymalnym możliwym zakresie, </w:t>
      </w:r>
      <w:r w:rsidRPr="00785CE9">
        <w:rPr>
          <w:rFonts w:cs="Arial"/>
          <w:sz w:val="20"/>
          <w:u w:val="single"/>
        </w:rPr>
        <w:t>będzie wykonywana metodą bezwykopową</w:t>
      </w:r>
      <w:r>
        <w:rPr>
          <w:rFonts w:cs="Arial"/>
          <w:sz w:val="20"/>
        </w:rPr>
        <w:t>, więc ewentualne wystąpienia podwyższonego poziomu wód gruntowych np. w rejonie rowów melioracyjnych stają się bezprzedmiotowe.</w:t>
      </w:r>
    </w:p>
    <w:p w:rsidR="00E34347" w:rsidRDefault="00E34347" w:rsidP="00D55077">
      <w:pPr>
        <w:ind w:firstLine="708"/>
        <w:jc w:val="both"/>
        <w:rPr>
          <w:rFonts w:cs="Arial"/>
          <w:sz w:val="20"/>
        </w:rPr>
      </w:pPr>
      <w:r w:rsidRPr="00BE660A">
        <w:rPr>
          <w:rFonts w:cs="Arial"/>
          <w:sz w:val="20"/>
        </w:rPr>
        <w:t>Według powyższego warunki geotechniczne są korzystne dla realizacji przedmiotowej inwestycji i jej późniejszej eksploatacji.</w:t>
      </w:r>
      <w:r>
        <w:rPr>
          <w:rFonts w:cs="Arial"/>
          <w:sz w:val="20"/>
        </w:rPr>
        <w:t xml:space="preserve"> </w:t>
      </w:r>
      <w:r w:rsidRPr="00BE660A">
        <w:rPr>
          <w:rFonts w:cs="Arial"/>
          <w:sz w:val="20"/>
        </w:rPr>
        <w:t>Zgodnie z Rozporządzeniem Ministra Transportu, Budownictwa i Gospodarki Morskiej z dnia 25 kwietnia 2012r w sprawie ustalenia geotechnicznych warunków posadowienia obiektów budowlanych (Dz. U. z 2012, poz. 463), teren przedmiotowej inwestycji, reprezentuje proste warunki gruntowe, a</w:t>
      </w:r>
      <w:r>
        <w:rPr>
          <w:rFonts w:cs="Arial"/>
          <w:sz w:val="20"/>
        </w:rPr>
        <w:t xml:space="preserve"> projektowane</w:t>
      </w:r>
      <w:r w:rsidRPr="00BE660A">
        <w:rPr>
          <w:rFonts w:cs="Arial"/>
          <w:sz w:val="20"/>
        </w:rPr>
        <w:t xml:space="preserve"> obiekty zaliczono do </w:t>
      </w:r>
      <w:r>
        <w:rPr>
          <w:rFonts w:cs="Arial"/>
          <w:sz w:val="20"/>
          <w:u w:val="single"/>
        </w:rPr>
        <w:t>drugiej</w:t>
      </w:r>
      <w:r w:rsidRPr="00484677">
        <w:rPr>
          <w:rFonts w:cs="Arial"/>
          <w:sz w:val="20"/>
          <w:u w:val="single"/>
        </w:rPr>
        <w:t xml:space="preserve"> kategorii </w:t>
      </w:r>
      <w:r w:rsidRPr="00AC37F4">
        <w:rPr>
          <w:rFonts w:cs="Arial"/>
          <w:sz w:val="20"/>
          <w:u w:val="single"/>
        </w:rPr>
        <w:t>geotechnicznej</w:t>
      </w:r>
      <w:r w:rsidRPr="00BE660A">
        <w:rPr>
          <w:rFonts w:cs="Arial"/>
          <w:sz w:val="20"/>
        </w:rPr>
        <w:t>.</w:t>
      </w:r>
    </w:p>
    <w:p w:rsidR="00E34347" w:rsidRPr="00E37CB4" w:rsidRDefault="00E34347" w:rsidP="00D55077">
      <w:pPr>
        <w:ind w:firstLine="708"/>
        <w:jc w:val="both"/>
        <w:rPr>
          <w:rFonts w:cs="Arial"/>
          <w:sz w:val="20"/>
        </w:rPr>
      </w:pPr>
      <w:r w:rsidRPr="00E37CB4">
        <w:rPr>
          <w:rFonts w:cs="Arial"/>
          <w:sz w:val="20"/>
        </w:rPr>
        <w:t>Opinię geotechniczną dla przedmiotowego zakresu projektowego, załączono w części formalnoprawnej</w:t>
      </w:r>
      <w:r>
        <w:rPr>
          <w:rFonts w:cs="Arial"/>
          <w:sz w:val="20"/>
        </w:rPr>
        <w:t xml:space="preserve"> nr III</w:t>
      </w:r>
      <w:r w:rsidRPr="00E37CB4">
        <w:rPr>
          <w:rFonts w:cs="Arial"/>
          <w:sz w:val="20"/>
        </w:rPr>
        <w:t>.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6" w:name="_Toc153546907"/>
      <w:r w:rsidRPr="00C95C0C">
        <w:rPr>
          <w:rFonts w:cs="Arial"/>
          <w:i/>
          <w:sz w:val="22"/>
          <w:szCs w:val="22"/>
        </w:rPr>
        <w:t>6) w przypadku zamierzenia budowlanego dotyczącego budynku – liczbę lokali mieszkalnych i użytkowych</w:t>
      </w:r>
      <w:bookmarkEnd w:id="16"/>
    </w:p>
    <w:p w:rsidR="00737B1D" w:rsidRPr="00F21A9A" w:rsidRDefault="00737B1D" w:rsidP="00737B1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7" w:name="_Toc153546908"/>
      <w:r w:rsidRPr="00C95C0C">
        <w:rPr>
          <w:rFonts w:cs="Arial"/>
          <w:i/>
          <w:sz w:val="22"/>
          <w:szCs w:val="22"/>
        </w:rPr>
        <w:t>7) w przypadku zamierzenia budowlanego dotyczącego budynku mieszkalnego wielorodzinnego – liczbę lokali mieszkalnych dostępnych dla osób niepełnosprawnych, o których mowa w art. 1 Konwencji o prawach osób niepełnosprawnych, sporządzonej w Nowym Jorku dnia 13 grudnia 2006 r. (Dz. U. z 2012 r. poz. 1169 oraz z 2018 r. poz. 1217), w tym osób starszych</w:t>
      </w:r>
      <w:bookmarkEnd w:id="17"/>
    </w:p>
    <w:p w:rsidR="00737B1D" w:rsidRPr="00F21A9A" w:rsidRDefault="00737B1D" w:rsidP="00737B1D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8" w:name="_Toc153546909"/>
      <w:r w:rsidRPr="00C95C0C">
        <w:rPr>
          <w:rFonts w:cs="Arial"/>
          <w:i/>
          <w:sz w:val="22"/>
          <w:szCs w:val="22"/>
        </w:rPr>
        <w:t xml:space="preserve">8) opis zapewnienia niezbędnych warunków do korzystania z obiektów użyteczności publicznej i mieszkaniowego budownictwa wielorodzinnego przez osoby niepełnosprawne, o których mowa w art. 1 Konwencji o prawach osób </w:t>
      </w:r>
      <w:r w:rsidRPr="00FB4C8E">
        <w:rPr>
          <w:rFonts w:cs="Arial"/>
          <w:i/>
          <w:sz w:val="22"/>
          <w:szCs w:val="22"/>
        </w:rPr>
        <w:t>niepełno</w:t>
      </w:r>
      <w:r w:rsidRPr="00C95C0C">
        <w:rPr>
          <w:rFonts w:cs="Arial"/>
          <w:i/>
          <w:sz w:val="22"/>
          <w:szCs w:val="22"/>
        </w:rPr>
        <w:t>-</w:t>
      </w:r>
      <w:r w:rsidRPr="00C95C0C">
        <w:rPr>
          <w:rFonts w:cs="Arial"/>
          <w:i/>
          <w:sz w:val="22"/>
          <w:szCs w:val="22"/>
        </w:rPr>
        <w:lastRenderedPageBreak/>
        <w:t>sprawnych, sporządzonej w Nowym Jorku dnia 13 grudnia 2006 r., w tym osoby starsze</w:t>
      </w:r>
      <w:bookmarkEnd w:id="18"/>
    </w:p>
    <w:p w:rsidR="00737B1D" w:rsidRPr="00F21A9A" w:rsidRDefault="00737B1D" w:rsidP="00DB49D4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9" w:name="_Toc153546910"/>
      <w:r w:rsidRPr="00C95C0C">
        <w:rPr>
          <w:rFonts w:cs="Arial"/>
          <w:i/>
          <w:sz w:val="22"/>
          <w:szCs w:val="22"/>
        </w:rPr>
        <w:t>9) parametry techniczne obiektu budowlanego charakteryzujące wpływ obiektu budowlanego na środowisko i jego wykorzystywanie oraz na zdrowie ludzi i obiekty sąsiednie pod względem:</w:t>
      </w:r>
      <w:bookmarkEnd w:id="19"/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0" w:name="_Toc153546911"/>
      <w:r w:rsidRPr="00C95C0C">
        <w:rPr>
          <w:rFonts w:cs="Arial"/>
          <w:i/>
          <w:sz w:val="22"/>
          <w:szCs w:val="22"/>
        </w:rPr>
        <w:t>a) zapotrzebowania i jakości wody oraz ilości, jakości i sposobu odprowadzania ścieków oraz wód opadowych</w:t>
      </w:r>
      <w:bookmarkEnd w:id="20"/>
    </w:p>
    <w:p w:rsidR="00291D4A" w:rsidRPr="00F21A9A" w:rsidRDefault="00291D4A" w:rsidP="006C79DB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1" w:name="_Toc153546912"/>
      <w:r w:rsidRPr="00C95C0C">
        <w:rPr>
          <w:rFonts w:cs="Arial"/>
          <w:i/>
          <w:sz w:val="22"/>
          <w:szCs w:val="22"/>
        </w:rPr>
        <w:t>b) emisji zanieczyszczeń gazowych, w tym zapachów, pyłowych i płynnych, z podaniem ich rodzaju, ilości i zasięgu rozprzestrzeniania się</w:t>
      </w:r>
      <w:bookmarkEnd w:id="21"/>
    </w:p>
    <w:p w:rsidR="003B2E5E" w:rsidRPr="00F21A9A" w:rsidRDefault="003B2E5E" w:rsidP="006C79DB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2" w:name="_Toc153546913"/>
      <w:r w:rsidRPr="00C95C0C">
        <w:rPr>
          <w:rFonts w:cs="Arial"/>
          <w:i/>
          <w:sz w:val="22"/>
          <w:szCs w:val="22"/>
        </w:rPr>
        <w:t>c) rodzaju i ilości wytwarzanych odpadów</w:t>
      </w:r>
      <w:bookmarkEnd w:id="22"/>
    </w:p>
    <w:p w:rsidR="00291D4A" w:rsidRPr="00F21A9A" w:rsidRDefault="00291D4A" w:rsidP="006C79DB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3" w:name="_Toc153546914"/>
      <w:r w:rsidRPr="00C95C0C">
        <w:rPr>
          <w:rFonts w:cs="Arial"/>
          <w:i/>
          <w:sz w:val="22"/>
          <w:szCs w:val="22"/>
        </w:rPr>
        <w:t>d) właściwości akustycznych oraz emisji drgań, a także promieniowania, w szczególności jonizującego, pola elektro- magnetycznego i innych zakłóceń, z podaniem odpowiednich parametrów tych czynników i zasięgu ich rozprzestrzeniania się</w:t>
      </w:r>
      <w:bookmarkEnd w:id="23"/>
    </w:p>
    <w:p w:rsidR="00291D4A" w:rsidRPr="00F21A9A" w:rsidRDefault="00291D4A" w:rsidP="006C79DB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4" w:name="_Toc153546915"/>
      <w:r w:rsidRPr="00A97945">
        <w:rPr>
          <w:rFonts w:cs="Arial"/>
          <w:i/>
          <w:sz w:val="22"/>
          <w:szCs w:val="22"/>
        </w:rPr>
        <w:t>e) wpływu obiektu budowlanego na istniejący drzewostan, powierzchnię ziemi, w tym glebę, wody powierzchniowe i podziemne</w:t>
      </w:r>
      <w:bookmarkEnd w:id="24"/>
    </w:p>
    <w:p w:rsidR="007D3598" w:rsidRPr="007D3598" w:rsidRDefault="007D3598" w:rsidP="007D3598">
      <w:pPr>
        <w:pStyle w:val="0Ttomek"/>
        <w:ind w:firstLine="708"/>
        <w:rPr>
          <w:rFonts w:ascii="Arial" w:hAnsi="Arial" w:cs="Arial"/>
          <w:szCs w:val="20"/>
        </w:rPr>
      </w:pPr>
      <w:r w:rsidRPr="007D3598">
        <w:rPr>
          <w:rFonts w:ascii="Arial" w:hAnsi="Arial" w:cs="Arial"/>
          <w:szCs w:val="20"/>
        </w:rPr>
        <w:t>Przedmiotowa inwestycja nie wpłynie ne</w:t>
      </w:r>
      <w:r>
        <w:rPr>
          <w:rFonts w:ascii="Arial" w:hAnsi="Arial" w:cs="Arial"/>
          <w:szCs w:val="20"/>
        </w:rPr>
        <w:t>gatywnie</w:t>
      </w:r>
      <w:r w:rsidRPr="007D3598">
        <w:rPr>
          <w:rFonts w:ascii="Arial" w:hAnsi="Arial" w:cs="Arial"/>
          <w:szCs w:val="20"/>
        </w:rPr>
        <w:t xml:space="preserve"> na istniejący drzewostan</w:t>
      </w:r>
      <w:r w:rsidR="009E7957">
        <w:rPr>
          <w:rFonts w:ascii="Arial" w:hAnsi="Arial" w:cs="Arial"/>
          <w:szCs w:val="20"/>
        </w:rPr>
        <w:t xml:space="preserve"> (żadne drzewo albo krzew nie podlega usunięcia z powodu kolizji z inwestycją)</w:t>
      </w:r>
      <w:r w:rsidRPr="007D3598">
        <w:rPr>
          <w:rFonts w:ascii="Arial" w:hAnsi="Arial" w:cs="Arial"/>
          <w:szCs w:val="20"/>
        </w:rPr>
        <w:t>, powierzchnię ziemi,</w:t>
      </w:r>
      <w:r>
        <w:rPr>
          <w:rFonts w:ascii="Arial" w:hAnsi="Arial" w:cs="Arial"/>
          <w:szCs w:val="20"/>
        </w:rPr>
        <w:t xml:space="preserve"> </w:t>
      </w:r>
      <w:r w:rsidRPr="007D3598">
        <w:rPr>
          <w:rFonts w:ascii="Arial" w:hAnsi="Arial" w:cs="Arial"/>
          <w:szCs w:val="20"/>
        </w:rPr>
        <w:t>w tym glebę, czy wody powierzchniowe i podziemne. W zbliżeniu do projektowanej inwestycji są rowy melioracyjne oraz rowy przydrożne odwadniające będące urządzen</w:t>
      </w:r>
      <w:r w:rsidR="006F03CA">
        <w:rPr>
          <w:rFonts w:ascii="Arial" w:hAnsi="Arial" w:cs="Arial"/>
          <w:szCs w:val="20"/>
        </w:rPr>
        <w:t>ia</w:t>
      </w:r>
      <w:r w:rsidRPr="007D3598">
        <w:rPr>
          <w:rFonts w:ascii="Arial" w:hAnsi="Arial" w:cs="Arial"/>
          <w:szCs w:val="20"/>
        </w:rPr>
        <w:t>m</w:t>
      </w:r>
      <w:r w:rsidR="006F03CA">
        <w:rPr>
          <w:rFonts w:ascii="Arial" w:hAnsi="Arial" w:cs="Arial"/>
          <w:szCs w:val="20"/>
        </w:rPr>
        <w:t>i</w:t>
      </w:r>
      <w:r w:rsidRPr="007D3598">
        <w:rPr>
          <w:rFonts w:ascii="Arial" w:hAnsi="Arial" w:cs="Arial"/>
          <w:szCs w:val="20"/>
        </w:rPr>
        <w:t xml:space="preserve"> związanym</w:t>
      </w:r>
      <w:r w:rsidR="006F03CA">
        <w:rPr>
          <w:rFonts w:ascii="Arial" w:hAnsi="Arial" w:cs="Arial"/>
          <w:szCs w:val="20"/>
        </w:rPr>
        <w:t>i</w:t>
      </w:r>
      <w:r w:rsidRPr="007D3598">
        <w:rPr>
          <w:rFonts w:ascii="Arial" w:hAnsi="Arial" w:cs="Arial"/>
          <w:szCs w:val="20"/>
        </w:rPr>
        <w:t xml:space="preserve"> z funkcjonowaniem pasów drogowych</w:t>
      </w:r>
      <w:r>
        <w:rPr>
          <w:rFonts w:ascii="Arial" w:hAnsi="Arial" w:cs="Arial"/>
          <w:szCs w:val="20"/>
        </w:rPr>
        <w:t xml:space="preserve">, </w:t>
      </w:r>
      <w:r w:rsidR="006F03CA">
        <w:rPr>
          <w:rFonts w:ascii="Arial" w:hAnsi="Arial" w:cs="Arial"/>
          <w:szCs w:val="20"/>
        </w:rPr>
        <w:t xml:space="preserve">a </w:t>
      </w:r>
      <w:r>
        <w:rPr>
          <w:rFonts w:ascii="Arial" w:hAnsi="Arial" w:cs="Arial"/>
          <w:szCs w:val="20"/>
        </w:rPr>
        <w:t>ich przekroczenie nastąpi metodą bezwykopową.</w:t>
      </w:r>
      <w:r w:rsidRPr="007D3598">
        <w:rPr>
          <w:rFonts w:ascii="Arial" w:hAnsi="Arial" w:cs="Arial"/>
          <w:szCs w:val="20"/>
        </w:rPr>
        <w:t xml:space="preserve"> W rejonie inwestycji brak jest pomników przyrody.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5" w:name="_Toc153546916"/>
      <w:r w:rsidRPr="00C95C0C">
        <w:rPr>
          <w:rFonts w:cs="Arial"/>
          <w:i/>
          <w:sz w:val="22"/>
          <w:szCs w:val="22"/>
        </w:rPr>
        <w:t>– uwzględniając, że przyjęte w projekcie budowlanym rozwiązania przestrzenne, funkcjonalne i techniczne powinny wykazywać ograniczenie lub eliminację wpływu obiektu budowlanego na środowisko przyrodnicze, zdrowie ludzi i inne obiekty budowlane, zgodnie z odrębnymi przepisami</w:t>
      </w:r>
      <w:bookmarkEnd w:id="25"/>
    </w:p>
    <w:p w:rsidR="001C419A" w:rsidRPr="00332779" w:rsidRDefault="001C419A" w:rsidP="00541582">
      <w:pPr>
        <w:pStyle w:val="0Ttomek"/>
        <w:ind w:firstLine="708"/>
        <w:rPr>
          <w:rFonts w:ascii="Arial" w:hAnsi="Arial" w:cs="Arial"/>
          <w:szCs w:val="20"/>
        </w:rPr>
      </w:pPr>
      <w:r w:rsidRPr="006B165D">
        <w:rPr>
          <w:rFonts w:ascii="Arial" w:hAnsi="Arial" w:cs="Arial"/>
          <w:szCs w:val="20"/>
        </w:rPr>
        <w:t>Zgodnie z rozporządzeniem Rozporządzenie Rady Ministrów z dnia 10 września 2019r w</w:t>
      </w:r>
      <w:r w:rsidRPr="00332779">
        <w:rPr>
          <w:rFonts w:ascii="Arial" w:hAnsi="Arial" w:cs="Arial"/>
          <w:szCs w:val="20"/>
        </w:rPr>
        <w:t xml:space="preserve"> sprawie przedsięwzięć mogących znacząco oddziaływać na środowisko (Dz. U. z dnia 26 września 2019r, poz. 1839 ze zm.) przedmiotowa inwestycja, nie należy do szkodliwych dla środowiska i zdrowia ludzi lub mogących pogorszyć stan środowiska. Teren objęty niniejszym opracowaniem, jest zlokalizowany na terenach, które nie są obszarami podlegającymi ochronie na podstawie przepisów Ustawy z dnia 16 kwietnia 2004r. o ochronie przyrody /Dz. U. z 2004 r., Nr 92, poz. 880 z późn. zm./. Przedmiotowy teren, jest usytuowany w obrębie ustanowionego obszaru sieci NATURA 2000. Inwestycja nie znajduje się w obrębie obszaru rezerwatu przyrody lub też parku krajobrazowego.</w:t>
      </w:r>
    </w:p>
    <w:p w:rsidR="001C419A" w:rsidRPr="00332779" w:rsidRDefault="001C419A" w:rsidP="00541582">
      <w:pPr>
        <w:pStyle w:val="0Ttomek"/>
        <w:ind w:firstLine="708"/>
        <w:rPr>
          <w:rFonts w:ascii="Arial" w:hAnsi="Arial" w:cs="Arial"/>
          <w:szCs w:val="20"/>
        </w:rPr>
      </w:pPr>
      <w:r w:rsidRPr="00332779">
        <w:rPr>
          <w:rFonts w:ascii="Arial" w:hAnsi="Arial" w:cs="Arial"/>
          <w:szCs w:val="20"/>
        </w:rPr>
        <w:t xml:space="preserve">Projektowane podziemne </w:t>
      </w:r>
      <w:r w:rsidRPr="001073D8">
        <w:rPr>
          <w:rFonts w:ascii="Arial" w:hAnsi="Arial" w:cs="Arial"/>
          <w:szCs w:val="20"/>
        </w:rPr>
        <w:t>wodociąg</w:t>
      </w:r>
      <w:r w:rsidRPr="00332779">
        <w:rPr>
          <w:rFonts w:ascii="Arial" w:hAnsi="Arial" w:cs="Arial"/>
          <w:szCs w:val="20"/>
        </w:rPr>
        <w:t>i, będą pracować w układzie hermetycznym, nie będzie występować</w:t>
      </w:r>
      <w:r>
        <w:rPr>
          <w:rFonts w:ascii="Arial" w:hAnsi="Arial" w:cs="Arial"/>
          <w:szCs w:val="20"/>
        </w:rPr>
        <w:t xml:space="preserve"> żadna</w:t>
      </w:r>
      <w:r w:rsidRPr="00332779">
        <w:rPr>
          <w:rFonts w:ascii="Arial" w:hAnsi="Arial" w:cs="Arial"/>
          <w:szCs w:val="20"/>
        </w:rPr>
        <w:t xml:space="preserve"> emisja do atmosfery</w:t>
      </w:r>
      <w:r>
        <w:rPr>
          <w:rFonts w:ascii="Arial" w:hAnsi="Arial" w:cs="Arial"/>
          <w:szCs w:val="20"/>
        </w:rPr>
        <w:t>, np. gazów</w:t>
      </w:r>
      <w:r w:rsidRPr="00332779">
        <w:rPr>
          <w:rFonts w:ascii="Arial" w:hAnsi="Arial" w:cs="Arial"/>
          <w:szCs w:val="20"/>
        </w:rPr>
        <w:t xml:space="preserve">. Ponieważ </w:t>
      </w:r>
      <w:r>
        <w:rPr>
          <w:rFonts w:ascii="Arial" w:hAnsi="Arial" w:cs="Arial"/>
          <w:szCs w:val="20"/>
        </w:rPr>
        <w:t>wod</w:t>
      </w:r>
      <w:r w:rsidRPr="00332779">
        <w:rPr>
          <w:rFonts w:ascii="Arial" w:hAnsi="Arial" w:cs="Arial"/>
          <w:szCs w:val="20"/>
        </w:rPr>
        <w:t xml:space="preserve">ociągi nie wymagają korzystania ze środowiska naturalnego, wobec czego nie występują ścieki ani odpady stałe. Ponadto projektowane </w:t>
      </w:r>
      <w:r>
        <w:rPr>
          <w:rFonts w:ascii="Arial" w:hAnsi="Arial" w:cs="Arial"/>
          <w:szCs w:val="20"/>
        </w:rPr>
        <w:t>wod</w:t>
      </w:r>
      <w:r w:rsidRPr="00332779">
        <w:rPr>
          <w:rFonts w:ascii="Arial" w:hAnsi="Arial" w:cs="Arial"/>
          <w:szCs w:val="20"/>
        </w:rPr>
        <w:t xml:space="preserve">ociągi, nie stanowią potencjalnego zagrożenia dla środowiska </w:t>
      </w:r>
      <w:r w:rsidRPr="002C13D8">
        <w:rPr>
          <w:rFonts w:ascii="Arial" w:hAnsi="Arial" w:cs="Arial"/>
          <w:szCs w:val="20"/>
        </w:rPr>
        <w:t>naturalnego</w:t>
      </w:r>
      <w:r w:rsidRPr="00332779">
        <w:rPr>
          <w:rFonts w:ascii="Arial" w:hAnsi="Arial" w:cs="Arial"/>
          <w:szCs w:val="20"/>
        </w:rPr>
        <w:t>.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6" w:name="_Toc153546917"/>
      <w:r w:rsidRPr="00C95C0C">
        <w:rPr>
          <w:rFonts w:cs="Arial"/>
          <w:i/>
          <w:sz w:val="22"/>
          <w:szCs w:val="22"/>
        </w:rPr>
        <w:lastRenderedPageBreak/>
        <w:t>10) w przypadku zamierzenia budowlanego dotyczącego budynku – analizę technicznych, środowiskowych i ekonomicznych możliwości realizacji wysoce wydajnych systemów alternatywnych zaopatrzenia w energię i ciepło, w tym zdecentralizowanych systemów dostawy energii opartych na energii ze źródeł odnawialnych, kogenerację, ogrzewanie lub chłodzenie lokalne lub blokowe, w szczególności gdy opiera się całkowicie lub częściowo na energii z odnawialnych źródeł energii, o których mowa w art. 2 pkt 22 ustawy z dnia 20 lutego 2015 r. o odnawialnych źródłach energii (Dz. U. z 2020 r. poz. 261, 284, 568, 695, 1086 i 1503), oraz pompy ciepła, określającą:</w:t>
      </w:r>
      <w:bookmarkEnd w:id="26"/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7" w:name="_Toc153546918"/>
      <w:r w:rsidRPr="00C95C0C">
        <w:rPr>
          <w:rFonts w:cs="Arial"/>
          <w:i/>
          <w:sz w:val="22"/>
          <w:szCs w:val="22"/>
        </w:rPr>
        <w:t>a) oszacowanie rocznego zapotrzebowania na energię użytkową do ogrzewania, wentylacji, przygotowania ciepłej wody użytkowej,</w:t>
      </w:r>
      <w:bookmarkEnd w:id="27"/>
    </w:p>
    <w:p w:rsidR="007E4348" w:rsidRPr="00F21A9A" w:rsidRDefault="007E4348" w:rsidP="001D14CD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8" w:name="_Toc153546919"/>
      <w:r w:rsidRPr="00C95C0C">
        <w:rPr>
          <w:rFonts w:cs="Arial"/>
          <w:i/>
          <w:sz w:val="22"/>
          <w:szCs w:val="22"/>
        </w:rPr>
        <w:t>b) dostępne nośniki energii,</w:t>
      </w:r>
      <w:bookmarkEnd w:id="28"/>
    </w:p>
    <w:p w:rsidR="00703B05" w:rsidRPr="00F21A9A" w:rsidRDefault="00703B05" w:rsidP="001D14CD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9" w:name="_Toc153546920"/>
      <w:r w:rsidRPr="00C95C0C">
        <w:rPr>
          <w:rFonts w:cs="Arial"/>
          <w:i/>
          <w:sz w:val="22"/>
          <w:szCs w:val="22"/>
        </w:rPr>
        <w:t>c) wybór dwóch systemów zaopatrzenia w energię do analizy porównawczej:</w:t>
      </w:r>
      <w:bookmarkEnd w:id="29"/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0" w:name="_Toc153546921"/>
      <w:r w:rsidRPr="00C95C0C">
        <w:rPr>
          <w:rFonts w:cs="Arial"/>
          <w:i/>
          <w:sz w:val="22"/>
          <w:szCs w:val="22"/>
        </w:rPr>
        <w:t>– systemu konwencjonalnego oraz systemu alternatywnego albo</w:t>
      </w:r>
      <w:bookmarkEnd w:id="30"/>
    </w:p>
    <w:p w:rsidR="00EB5B1D" w:rsidRPr="00F21A9A" w:rsidRDefault="00EB5B1D" w:rsidP="001D14CD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1" w:name="_Toc153546922"/>
      <w:r w:rsidRPr="00C95C0C">
        <w:rPr>
          <w:rFonts w:cs="Arial"/>
          <w:i/>
          <w:sz w:val="22"/>
          <w:szCs w:val="22"/>
        </w:rPr>
        <w:t>– systemu konwencjonalnego oraz systemu hybrydowego, rozumianego jako połączenie systemu konwencjonalnego i alternatywnego,</w:t>
      </w:r>
      <w:bookmarkEnd w:id="31"/>
    </w:p>
    <w:p w:rsidR="00EB5B1D" w:rsidRPr="00F21A9A" w:rsidRDefault="00EB5B1D" w:rsidP="001D14CD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2" w:name="_Toc153546923"/>
      <w:r w:rsidRPr="00C95C0C">
        <w:rPr>
          <w:rFonts w:cs="Arial"/>
          <w:i/>
          <w:sz w:val="22"/>
          <w:szCs w:val="22"/>
        </w:rPr>
        <w:t>d) obliczenia optymalizacyjno-porównawcze dla wybranych systemów zaopatrzenia w energię,</w:t>
      </w:r>
      <w:bookmarkEnd w:id="32"/>
    </w:p>
    <w:p w:rsidR="00EB5B1D" w:rsidRPr="00F21A9A" w:rsidRDefault="00EB5B1D" w:rsidP="001D14CD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3" w:name="_Toc153546924"/>
      <w:r w:rsidRPr="00C95C0C">
        <w:rPr>
          <w:rFonts w:cs="Arial"/>
          <w:i/>
          <w:sz w:val="22"/>
          <w:szCs w:val="22"/>
        </w:rPr>
        <w:t>e) wyniki analizy porównawczej i wybór systemu zaopatrzenia w energię;</w:t>
      </w:r>
      <w:bookmarkEnd w:id="33"/>
    </w:p>
    <w:p w:rsidR="00294D5D" w:rsidRPr="00F21A9A" w:rsidRDefault="00294D5D" w:rsidP="001D14CD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4" w:name="_Toc153546925"/>
      <w:r w:rsidRPr="00C95C0C">
        <w:rPr>
          <w:rFonts w:cs="Arial"/>
          <w:i/>
          <w:sz w:val="22"/>
          <w:szCs w:val="22"/>
        </w:rPr>
        <w:t>11) w stosunku do budynku – analizę technicznych i ekonomicznych możliwości wykorzystania urządzeń, które automatycznie regulują temperaturę oddzielnie w poszczególnych pomieszczeniach lub w wyznaczonej strefie ogrzewanej, zgodnie z § 135 ust. 7–10 i § 147 ust. 5–7 rozporządzenia Ministra Infrastruktury z dnia 12 kwietnia 2002 r. w sprawie warunków technicznych, jakim powinny odpowiadać budynki i ich usytuowanie (Dz. U. z 2019 r. poz. 1065 oraz z 2020 r. poz. 1608);</w:t>
      </w:r>
      <w:bookmarkEnd w:id="34"/>
    </w:p>
    <w:p w:rsidR="00294D5D" w:rsidRPr="00612E3B" w:rsidRDefault="00294D5D" w:rsidP="00BF7DDA">
      <w:pPr>
        <w:tabs>
          <w:tab w:val="left" w:pos="1420"/>
        </w:tabs>
        <w:jc w:val="both"/>
        <w:rPr>
          <w:sz w:val="20"/>
        </w:rPr>
      </w:pPr>
      <w:r w:rsidRPr="00F21A9A">
        <w:rPr>
          <w:sz w:val="20"/>
        </w:rPr>
        <w:tab/>
      </w:r>
      <w:r w:rsidRPr="00612E3B">
        <w:rPr>
          <w:sz w:val="20"/>
        </w:rPr>
        <w:t>NIE DOTYCZY</w:t>
      </w: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5" w:name="_Toc153546926"/>
      <w:r w:rsidRPr="00612E3B">
        <w:rPr>
          <w:rFonts w:cs="Arial"/>
          <w:i/>
          <w:sz w:val="22"/>
          <w:szCs w:val="22"/>
        </w:rPr>
        <w:t>12) informacje o zasadniczych elementach wyposażenia budowlano-instalacyjnego, zapewniających użytkowanie obiektu budowlanego zgodnie z przeznaczeniem;</w:t>
      </w:r>
      <w:bookmarkEnd w:id="35"/>
    </w:p>
    <w:p w:rsidR="00040F30" w:rsidRDefault="00040F30" w:rsidP="00040F30">
      <w:pPr>
        <w:tabs>
          <w:tab w:val="left" w:pos="709"/>
        </w:tabs>
        <w:spacing w:line="276" w:lineRule="auto"/>
        <w:jc w:val="both"/>
        <w:rPr>
          <w:sz w:val="20"/>
        </w:rPr>
      </w:pPr>
      <w:r w:rsidRPr="00040F30">
        <w:rPr>
          <w:rFonts w:cs="Arial"/>
          <w:sz w:val="20"/>
        </w:rPr>
        <w:tab/>
      </w:r>
      <w:r w:rsidR="00C24B83">
        <w:rPr>
          <w:rFonts w:cs="Arial"/>
          <w:sz w:val="20"/>
        </w:rPr>
        <w:t>Zap</w:t>
      </w:r>
      <w:r w:rsidR="00DA1B7A">
        <w:rPr>
          <w:rFonts w:cs="Arial"/>
          <w:sz w:val="20"/>
        </w:rPr>
        <w:t>rojektowano</w:t>
      </w:r>
      <w:r w:rsidRPr="00040F30">
        <w:rPr>
          <w:rFonts w:cs="Arial"/>
          <w:sz w:val="20"/>
        </w:rPr>
        <w:t xml:space="preserve"> podziemne wodociągi</w:t>
      </w:r>
      <w:r w:rsidR="00C24B83">
        <w:rPr>
          <w:rFonts w:cs="Arial"/>
          <w:sz w:val="20"/>
        </w:rPr>
        <w:t xml:space="preserve">, </w:t>
      </w:r>
      <w:r w:rsidR="00DA1B7A">
        <w:rPr>
          <w:rFonts w:cs="Arial"/>
          <w:sz w:val="20"/>
        </w:rPr>
        <w:t xml:space="preserve">tj. sieci o średnicach zewnętrznych </w:t>
      </w:r>
      <w:r w:rsidR="00DA1B7A" w:rsidRPr="00E37CB4">
        <w:rPr>
          <w:sz w:val="20"/>
        </w:rPr>
        <w:t>dz</w:t>
      </w:r>
      <w:r w:rsidR="00DA1B7A">
        <w:rPr>
          <w:sz w:val="20"/>
        </w:rPr>
        <w:t>50</w:t>
      </w:r>
      <w:r w:rsidR="00DA1B7A" w:rsidRPr="00E37CB4">
        <w:rPr>
          <w:sz w:val="20"/>
        </w:rPr>
        <w:t>mmPE, dz</w:t>
      </w:r>
      <w:r w:rsidR="00DA1B7A">
        <w:rPr>
          <w:sz w:val="20"/>
        </w:rPr>
        <w:t>63</w:t>
      </w:r>
      <w:r w:rsidR="00DA1B7A" w:rsidRPr="00E37CB4">
        <w:rPr>
          <w:sz w:val="20"/>
        </w:rPr>
        <w:t>mmPE, dz</w:t>
      </w:r>
      <w:r w:rsidR="00DA1B7A">
        <w:rPr>
          <w:sz w:val="20"/>
        </w:rPr>
        <w:t>9</w:t>
      </w:r>
      <w:r w:rsidR="00DA1B7A" w:rsidRPr="00E37CB4">
        <w:rPr>
          <w:sz w:val="20"/>
        </w:rPr>
        <w:t>0mmPE, dz</w:t>
      </w:r>
      <w:r w:rsidR="00DA1B7A">
        <w:rPr>
          <w:sz w:val="20"/>
        </w:rPr>
        <w:t>11</w:t>
      </w:r>
      <w:r w:rsidR="00DA1B7A" w:rsidRPr="00E37CB4">
        <w:rPr>
          <w:sz w:val="20"/>
        </w:rPr>
        <w:t>0mmPE</w:t>
      </w:r>
      <w:r w:rsidR="00DA1B7A">
        <w:rPr>
          <w:sz w:val="20"/>
        </w:rPr>
        <w:t>,</w:t>
      </w:r>
      <w:r w:rsidR="00DA1B7A" w:rsidRPr="00EE1D6A">
        <w:rPr>
          <w:sz w:val="20"/>
        </w:rPr>
        <w:t xml:space="preserve"> </w:t>
      </w:r>
      <w:r w:rsidR="00DA1B7A" w:rsidRPr="00E37CB4">
        <w:rPr>
          <w:sz w:val="20"/>
        </w:rPr>
        <w:t>dz</w:t>
      </w:r>
      <w:r w:rsidR="00DA1B7A">
        <w:rPr>
          <w:sz w:val="20"/>
        </w:rPr>
        <w:t>160</w:t>
      </w:r>
      <w:r w:rsidR="00DA1B7A" w:rsidRPr="00E37CB4">
        <w:rPr>
          <w:sz w:val="20"/>
        </w:rPr>
        <w:t>mmPE i dz</w:t>
      </w:r>
      <w:r w:rsidR="00DA1B7A">
        <w:rPr>
          <w:sz w:val="20"/>
        </w:rPr>
        <w:t>180</w:t>
      </w:r>
      <w:r w:rsidR="00DA1B7A" w:rsidRPr="00E37CB4">
        <w:rPr>
          <w:sz w:val="20"/>
        </w:rPr>
        <w:t>mmPE</w:t>
      </w:r>
      <w:r w:rsidR="004568DE">
        <w:rPr>
          <w:sz w:val="20"/>
        </w:rPr>
        <w:t xml:space="preserve"> </w:t>
      </w:r>
      <w:r w:rsidR="00DA1B7A">
        <w:rPr>
          <w:sz w:val="20"/>
        </w:rPr>
        <w:t xml:space="preserve">oraz przyłącza o </w:t>
      </w:r>
      <w:r w:rsidR="00DA1B7A">
        <w:rPr>
          <w:rFonts w:cs="Arial"/>
          <w:sz w:val="20"/>
        </w:rPr>
        <w:t>średnicy zewnętrznej</w:t>
      </w:r>
      <w:r w:rsidR="00DA1B7A" w:rsidRPr="00DA1B7A">
        <w:rPr>
          <w:sz w:val="20"/>
        </w:rPr>
        <w:t xml:space="preserve"> </w:t>
      </w:r>
      <w:r w:rsidR="00DA1B7A" w:rsidRPr="00E37CB4">
        <w:rPr>
          <w:sz w:val="20"/>
        </w:rPr>
        <w:t>dz</w:t>
      </w:r>
      <w:r w:rsidR="00DA1B7A">
        <w:rPr>
          <w:sz w:val="20"/>
        </w:rPr>
        <w:t>40</w:t>
      </w:r>
      <w:r w:rsidR="00DA1B7A" w:rsidRPr="00E37CB4">
        <w:rPr>
          <w:sz w:val="20"/>
        </w:rPr>
        <w:t>mmPE</w:t>
      </w:r>
      <w:r w:rsidR="004568DE" w:rsidRPr="004568DE">
        <w:rPr>
          <w:sz w:val="20"/>
        </w:rPr>
        <w:t xml:space="preserve"> </w:t>
      </w:r>
      <w:r w:rsidR="004568DE">
        <w:rPr>
          <w:sz w:val="20"/>
        </w:rPr>
        <w:t>z materiału RC do stosowania metod bezwykopowych lub bez stosowania podsypek i obsypek</w:t>
      </w:r>
      <w:r w:rsidR="00DA1B7A">
        <w:rPr>
          <w:sz w:val="20"/>
        </w:rPr>
        <w:t xml:space="preserve">. </w:t>
      </w:r>
      <w:r w:rsidR="002C487A">
        <w:rPr>
          <w:sz w:val="20"/>
        </w:rPr>
        <w:t>Ponadto z</w:t>
      </w:r>
      <w:r w:rsidR="002C487A" w:rsidRPr="00023BA6">
        <w:rPr>
          <w:rFonts w:cs="Arial"/>
          <w:sz w:val="20"/>
        </w:rPr>
        <w:t xml:space="preserve">aprojektowano zasuwy strefowe i odcinające na przyłączach </w:t>
      </w:r>
      <w:r w:rsidR="002C487A">
        <w:rPr>
          <w:rFonts w:cs="Arial"/>
          <w:sz w:val="20"/>
        </w:rPr>
        <w:t>oraz</w:t>
      </w:r>
      <w:r w:rsidR="002C487A" w:rsidRPr="00023BA6">
        <w:rPr>
          <w:rFonts w:cs="Arial"/>
          <w:sz w:val="20"/>
        </w:rPr>
        <w:t xml:space="preserve"> sieciach</w:t>
      </w:r>
      <w:r w:rsidR="007C7E17">
        <w:rPr>
          <w:rFonts w:cs="Arial"/>
          <w:sz w:val="20"/>
        </w:rPr>
        <w:t xml:space="preserve"> oraz </w:t>
      </w:r>
      <w:r w:rsidR="007C7E17" w:rsidRPr="00E37CB4">
        <w:rPr>
          <w:rFonts w:cs="Arial"/>
          <w:sz w:val="20"/>
        </w:rPr>
        <w:t>węzły hydrantowe technologiczne dn80 mm</w:t>
      </w:r>
      <w:r w:rsidR="007C7E17">
        <w:rPr>
          <w:rFonts w:cs="Arial"/>
          <w:sz w:val="20"/>
        </w:rPr>
        <w:t xml:space="preserve"> podziemne i nadziemne. </w:t>
      </w:r>
      <w:r w:rsidR="00CD6E6C">
        <w:rPr>
          <w:rFonts w:cs="Arial"/>
          <w:sz w:val="20"/>
        </w:rPr>
        <w:t>Dodatkowo w przypadku konieczności z</w:t>
      </w:r>
      <w:r w:rsidR="00CD6E6C" w:rsidRPr="00D04913">
        <w:rPr>
          <w:rFonts w:cs="Arial"/>
          <w:sz w:val="20"/>
        </w:rPr>
        <w:t>aplanowano instalację punktów pomiarowych do diagnostyki (</w:t>
      </w:r>
      <w:r w:rsidR="00CD6E6C" w:rsidRPr="00D04913">
        <w:rPr>
          <w:sz w:val="20"/>
        </w:rPr>
        <w:t>ustalenia lokalizacji awarii na sieci</w:t>
      </w:r>
      <w:r w:rsidR="00CD6E6C" w:rsidRPr="00D04913">
        <w:rPr>
          <w:rFonts w:cs="Arial"/>
          <w:sz w:val="20"/>
        </w:rPr>
        <w:t>) i identyfikacji przewodów wodociągowych w odległości nie większej niż 100 m</w:t>
      </w:r>
      <w:r w:rsidR="006407C2">
        <w:rPr>
          <w:rFonts w:cs="Arial"/>
          <w:sz w:val="20"/>
        </w:rPr>
        <w:t>.</w:t>
      </w:r>
    </w:p>
    <w:p w:rsidR="00040F30" w:rsidRDefault="00040F30" w:rsidP="00294D5D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040F30" w:rsidRDefault="00040F30" w:rsidP="00294D5D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040F30" w:rsidRDefault="00040F30" w:rsidP="00294D5D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040F30" w:rsidRPr="00F21A9A" w:rsidRDefault="00040F30" w:rsidP="00294D5D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Pr="00C95C0C" w:rsidRDefault="00C572E2" w:rsidP="00C95C0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6" w:name="_Toc153546927"/>
      <w:r w:rsidRPr="00C95C0C">
        <w:rPr>
          <w:rFonts w:cs="Arial"/>
          <w:i/>
          <w:sz w:val="22"/>
          <w:szCs w:val="22"/>
        </w:rPr>
        <w:t>13) dane dotyczące warunków ochrony przeciwpożarowej, stosownie do zakresu projektu.</w:t>
      </w:r>
      <w:bookmarkEnd w:id="36"/>
    </w:p>
    <w:p w:rsidR="003912A7" w:rsidRPr="00F21A9A" w:rsidRDefault="003912A7" w:rsidP="003912A7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C572E2" w:rsidRPr="00332779" w:rsidRDefault="00C572E2" w:rsidP="00332779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7" w:name="_Toc153546928"/>
      <w:r w:rsidRPr="00332779">
        <w:rPr>
          <w:rFonts w:cs="Arial"/>
          <w:i/>
          <w:sz w:val="22"/>
          <w:szCs w:val="22"/>
        </w:rPr>
        <w:t>2. Część opisowa projektu architektoniczno-budowlanego zawiera informację o zgodzie na odstępstwo, o którym mowa w art. 9 ustawy, lub o zgodzie udzielonej w postanowieniu, o którym mowa w art. 6a ust. 2 ustawy z dnia 24 sierpnia 1991 r. o ochronie przeciwpożarowej (Dz. U. z 2020 r. poz. 961), jeżeli zostały wydane.</w:t>
      </w:r>
      <w:bookmarkEnd w:id="37"/>
    </w:p>
    <w:p w:rsidR="003912A7" w:rsidRPr="00F21A9A" w:rsidRDefault="003912A7" w:rsidP="003912A7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:rsidR="003912A7" w:rsidRPr="00703B05" w:rsidRDefault="003912A7" w:rsidP="003912A7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B179FA" w:rsidRDefault="00B179FA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B179FA" w:rsidRDefault="00B179FA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B179FA" w:rsidRDefault="00B179FA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tbl>
      <w:tblPr>
        <w:tblpPr w:leftFromText="141" w:rightFromText="141" w:vertAnchor="page" w:horzAnchor="margin" w:tblpXSpec="center" w:tblpY="7229"/>
        <w:tblW w:w="6733" w:type="dxa"/>
        <w:shd w:val="clear" w:color="auto" w:fill="FFFFFF"/>
        <w:tblCellMar>
          <w:left w:w="70" w:type="dxa"/>
          <w:right w:w="70" w:type="dxa"/>
        </w:tblCellMar>
        <w:tblLook w:val="00AF"/>
      </w:tblPr>
      <w:tblGrid>
        <w:gridCol w:w="3525"/>
        <w:gridCol w:w="3208"/>
      </w:tblGrid>
      <w:tr w:rsidR="00D55077" w:rsidRPr="00FF7C4F" w:rsidTr="00D55077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:rsidR="00D55077" w:rsidRPr="00FF7C4F" w:rsidRDefault="00D55077" w:rsidP="00D55077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Projektant: </w:t>
            </w:r>
            <w:r w:rsidRPr="00702232">
              <w:rPr>
                <w:rFonts w:cs="Arial"/>
                <w:i/>
                <w:sz w:val="20"/>
              </w:rPr>
              <w:t xml:space="preserve">inż. </w:t>
            </w:r>
            <w:r w:rsidRPr="00FF7C4F">
              <w:rPr>
                <w:rFonts w:cs="Arial"/>
                <w:i/>
                <w:sz w:val="20"/>
              </w:rPr>
              <w:t>Teresa Świerczek</w:t>
            </w:r>
          </w:p>
        </w:tc>
      </w:tr>
      <w:tr w:rsidR="00D55077" w:rsidRPr="00FF7C4F" w:rsidTr="00D55077">
        <w:trPr>
          <w:trHeight w:val="1216"/>
        </w:trPr>
        <w:tc>
          <w:tcPr>
            <w:tcW w:w="3525" w:type="dxa"/>
            <w:shd w:val="clear" w:color="auto" w:fill="FFFFFF"/>
          </w:tcPr>
          <w:p w:rsidR="00D55077" w:rsidRPr="00FF7C4F" w:rsidRDefault="00D55077" w:rsidP="00D55077">
            <w:pPr>
              <w:pStyle w:val="Tekstpodstawowy"/>
              <w:spacing w:line="240" w:lineRule="auto"/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t>Nr uprawnień</w:t>
            </w:r>
            <w:r w:rsidRPr="00FF7C4F">
              <w:rPr>
                <w:rFonts w:cs="Arial"/>
                <w:sz w:val="20"/>
                <w:u w:val="single"/>
              </w:rPr>
              <w:t>:</w:t>
            </w:r>
          </w:p>
          <w:p w:rsidR="00D55077" w:rsidRPr="00FF7C4F" w:rsidRDefault="00D55077" w:rsidP="00D55077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Upr.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44/M/85</w:t>
            </w:r>
          </w:p>
          <w:p w:rsidR="00D55077" w:rsidRPr="00FF7C4F" w:rsidRDefault="00D55077" w:rsidP="00D55077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:rsidR="00D55077" w:rsidRPr="00FF7C4F" w:rsidRDefault="00D55077" w:rsidP="00D55077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Izba: </w:t>
            </w:r>
            <w:r w:rsidRPr="00B16BE6">
              <w:rPr>
                <w:rFonts w:ascii="Arial" w:hAnsi="Arial" w:cs="Arial"/>
                <w:b/>
                <w:color w:val="auto"/>
                <w:sz w:val="16"/>
                <w:szCs w:val="16"/>
              </w:rPr>
              <w:t>SLK/IS/9396/03</w:t>
            </w:r>
          </w:p>
        </w:tc>
        <w:tc>
          <w:tcPr>
            <w:tcW w:w="3208" w:type="dxa"/>
            <w:shd w:val="clear" w:color="auto" w:fill="FFFFFF"/>
          </w:tcPr>
          <w:p w:rsidR="00D55077" w:rsidRPr="00FF7C4F" w:rsidRDefault="00D55077" w:rsidP="00D55077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:rsidR="00D55077" w:rsidRDefault="00D55077" w:rsidP="00D55077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D55077" w:rsidRPr="00441649" w:rsidRDefault="00D55077" w:rsidP="00D55077">
            <w:pPr>
              <w:jc w:val="center"/>
              <w:rPr>
                <w:rFonts w:cs="Arial"/>
                <w:sz w:val="16"/>
                <w:szCs w:val="16"/>
              </w:rPr>
            </w:pPr>
            <w:r w:rsidRPr="00296FE7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D55077" w:rsidRPr="00FF7C4F" w:rsidTr="00D55077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:rsidR="00D55077" w:rsidRPr="00FF7C4F" w:rsidRDefault="00D55077" w:rsidP="00D55077">
            <w:pPr>
              <w:jc w:val="center"/>
              <w:rPr>
                <w:rFonts w:cs="Arial"/>
                <w:i/>
                <w:sz w:val="20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 sprawdzający: </w:t>
            </w:r>
            <w:r w:rsidRPr="00702232">
              <w:rPr>
                <w:rFonts w:cs="Arial"/>
                <w:i/>
                <w:sz w:val="20"/>
              </w:rPr>
              <w:t xml:space="preserve">mgr inż. </w:t>
            </w:r>
            <w:r w:rsidRPr="00FF7C4F">
              <w:rPr>
                <w:rFonts w:cs="Arial"/>
                <w:i/>
                <w:sz w:val="20"/>
              </w:rPr>
              <w:t>Aleksandra Machowiak</w:t>
            </w:r>
          </w:p>
        </w:tc>
      </w:tr>
      <w:tr w:rsidR="00D55077" w:rsidRPr="00FF7C4F" w:rsidTr="00D55077">
        <w:trPr>
          <w:trHeight w:val="1225"/>
        </w:trPr>
        <w:tc>
          <w:tcPr>
            <w:tcW w:w="3525" w:type="dxa"/>
            <w:shd w:val="clear" w:color="auto" w:fill="FFFFFF"/>
          </w:tcPr>
          <w:p w:rsidR="00D55077" w:rsidRPr="00FF7C4F" w:rsidRDefault="00D55077" w:rsidP="00D55077">
            <w:pPr>
              <w:pStyle w:val="Tekstpodstawowy"/>
              <w:spacing w:line="240" w:lineRule="auto"/>
              <w:jc w:val="center"/>
              <w:rPr>
                <w:rFonts w:cs="Arial"/>
                <w:caps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t>Nr uprawnień:</w:t>
            </w:r>
          </w:p>
          <w:p w:rsidR="00D55077" w:rsidRPr="00FF7C4F" w:rsidRDefault="00D55077" w:rsidP="00D55077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Upr.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724/92, 874/92</w:t>
            </w:r>
          </w:p>
          <w:p w:rsidR="00D55077" w:rsidRPr="00FF7C4F" w:rsidRDefault="00D55077" w:rsidP="00D55077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:rsidR="00D55077" w:rsidRPr="00FF7C4F" w:rsidRDefault="00D55077" w:rsidP="00D55077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>Izba: SLK/IS/0858/02</w:t>
            </w:r>
          </w:p>
        </w:tc>
        <w:tc>
          <w:tcPr>
            <w:tcW w:w="3208" w:type="dxa"/>
            <w:shd w:val="clear" w:color="auto" w:fill="FFFFFF"/>
          </w:tcPr>
          <w:p w:rsidR="00D55077" w:rsidRPr="00FF7C4F" w:rsidRDefault="00D55077" w:rsidP="00D55077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:rsidR="00D55077" w:rsidRDefault="00D55077" w:rsidP="00D55077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D55077" w:rsidRPr="00441649" w:rsidRDefault="00D55077" w:rsidP="00D5507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B179FA" w:rsidRDefault="00B179FA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C572E2" w:rsidRDefault="00C572E2" w:rsidP="006B5833">
      <w:pPr>
        <w:tabs>
          <w:tab w:val="left" w:pos="1420"/>
        </w:tabs>
        <w:spacing w:line="276" w:lineRule="auto"/>
        <w:jc w:val="both"/>
        <w:rPr>
          <w:sz w:val="20"/>
        </w:rPr>
      </w:pPr>
    </w:p>
    <w:p w:rsidR="00D35F45" w:rsidRDefault="00D35F45"/>
    <w:p w:rsidR="00C95C0C" w:rsidRDefault="00C95C0C"/>
    <w:p w:rsidR="00C95C0C" w:rsidRDefault="00C95C0C"/>
    <w:p w:rsidR="00C95C0C" w:rsidRDefault="00C95C0C"/>
    <w:p w:rsidR="00C95C0C" w:rsidRDefault="00C95C0C"/>
    <w:p w:rsidR="00B179FA" w:rsidRDefault="00B179FA"/>
    <w:sectPr w:rsidR="00B179FA" w:rsidSect="002C6BB7">
      <w:headerReference w:type="default" r:id="rId7"/>
      <w:footerReference w:type="even" r:id="rId8"/>
      <w:footerReference w:type="default" r:id="rId9"/>
      <w:pgSz w:w="11906" w:h="16838"/>
      <w:pgMar w:top="1702" w:right="1247" w:bottom="1843" w:left="1588" w:header="709" w:footer="805" w:gutter="0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BB" w:rsidRDefault="009467BB" w:rsidP="00F352A0">
      <w:r>
        <w:separator/>
      </w:r>
    </w:p>
  </w:endnote>
  <w:endnote w:type="continuationSeparator" w:id="0">
    <w:p w:rsidR="009467BB" w:rsidRDefault="009467BB" w:rsidP="00F35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BB7" w:rsidRDefault="005A112E" w:rsidP="002C6BB7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6B583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6BB7" w:rsidRDefault="002C6BB7" w:rsidP="002C6BB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BB7" w:rsidRPr="00C91A25" w:rsidRDefault="006B5833" w:rsidP="002C6BB7">
    <w:pPr>
      <w:pStyle w:val="Stopka"/>
      <w:framePr w:wrap="around" w:vAnchor="text" w:hAnchor="page" w:x="5968" w:y="122"/>
      <w:rPr>
        <w:rStyle w:val="Numerstrony"/>
        <w:i/>
        <w:sz w:val="18"/>
        <w:szCs w:val="18"/>
      </w:rPr>
    </w:pPr>
    <w:r w:rsidRPr="00C91A25">
      <w:rPr>
        <w:rStyle w:val="Numerstrony"/>
        <w:i/>
        <w:sz w:val="18"/>
        <w:szCs w:val="18"/>
      </w:rPr>
      <w:t>-</w:t>
    </w:r>
    <w:r w:rsidR="005A112E" w:rsidRPr="00C91A25">
      <w:rPr>
        <w:rStyle w:val="Numerstrony"/>
        <w:i/>
        <w:sz w:val="18"/>
        <w:szCs w:val="18"/>
      </w:rPr>
      <w:fldChar w:fldCharType="begin"/>
    </w:r>
    <w:r w:rsidRPr="00C91A25">
      <w:rPr>
        <w:rStyle w:val="Numerstrony"/>
        <w:i/>
        <w:sz w:val="18"/>
        <w:szCs w:val="18"/>
      </w:rPr>
      <w:instrText xml:space="preserve">PAGE  </w:instrText>
    </w:r>
    <w:r w:rsidR="005A112E" w:rsidRPr="00C91A25">
      <w:rPr>
        <w:rStyle w:val="Numerstrony"/>
        <w:i/>
        <w:sz w:val="18"/>
        <w:szCs w:val="18"/>
      </w:rPr>
      <w:fldChar w:fldCharType="separate"/>
    </w:r>
    <w:r w:rsidR="00D56D66">
      <w:rPr>
        <w:rStyle w:val="Numerstrony"/>
        <w:i/>
        <w:noProof/>
        <w:sz w:val="18"/>
        <w:szCs w:val="18"/>
      </w:rPr>
      <w:t>8</w:t>
    </w:r>
    <w:r w:rsidR="005A112E" w:rsidRPr="00C91A25">
      <w:rPr>
        <w:rStyle w:val="Numerstrony"/>
        <w:i/>
        <w:sz w:val="18"/>
        <w:szCs w:val="18"/>
      </w:rPr>
      <w:fldChar w:fldCharType="end"/>
    </w:r>
    <w:r w:rsidRPr="00C91A25">
      <w:rPr>
        <w:rStyle w:val="Numerstrony"/>
        <w:i/>
        <w:sz w:val="18"/>
        <w:szCs w:val="18"/>
      </w:rPr>
      <w:t>-</w:t>
    </w:r>
  </w:p>
  <w:p w:rsidR="002C6BB7" w:rsidRDefault="005A112E" w:rsidP="002C6BB7">
    <w:pPr>
      <w:pStyle w:val="Stopka"/>
      <w:spacing w:line="360" w:lineRule="auto"/>
    </w:pPr>
    <w:r w:rsidRPr="005A112E">
      <w:rPr>
        <w:b/>
        <w:bCs/>
        <w:noProof/>
        <w:sz w:val="20"/>
      </w:rPr>
      <w:pict>
        <v:line id="_x0000_s1026" style="position:absolute;z-index:251661312" from="1pt,1.95pt" to="460pt,1.95pt" strokecolor="blue"/>
      </w:pict>
    </w:r>
  </w:p>
  <w:p w:rsidR="002C6BB7" w:rsidRDefault="006B5833" w:rsidP="002C6BB7">
    <w:pPr>
      <w:rPr>
        <w:sz w:val="18"/>
      </w:rPr>
    </w:pPr>
    <w:r>
      <w:rPr>
        <w:b/>
        <w:bCs/>
        <w:sz w:val="18"/>
      </w:rPr>
      <w:t xml:space="preserve">  EKOSANITECH</w:t>
    </w:r>
    <w:r>
      <w:rPr>
        <w:sz w:val="18"/>
      </w:rPr>
      <w:tab/>
      <w:t xml:space="preserve">  Marcin Kominek </w:t>
    </w:r>
    <w:r>
      <w:rPr>
        <w:sz w:val="18"/>
      </w:rPr>
      <w:tab/>
      <w:t>tel. kom.:  691-958-651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NIP </w:t>
    </w:r>
    <w:r w:rsidRPr="00D6396D">
      <w:rPr>
        <w:sz w:val="18"/>
      </w:rPr>
      <w:t>652-154-67-91</w:t>
    </w:r>
  </w:p>
  <w:p w:rsidR="002C6BB7" w:rsidRDefault="006B5833" w:rsidP="002C6BB7">
    <w:pPr>
      <w:rPr>
        <w:sz w:val="18"/>
      </w:rPr>
    </w:pPr>
    <w:r>
      <w:rPr>
        <w:sz w:val="18"/>
      </w:rPr>
      <w:t xml:space="preserve">  </w:t>
    </w:r>
    <w:r w:rsidRPr="00D6396D">
      <w:rPr>
        <w:sz w:val="18"/>
      </w:rPr>
      <w:t xml:space="preserve">ul. </w:t>
    </w:r>
    <w:r w:rsidRPr="00C0625B">
      <w:rPr>
        <w:sz w:val="18"/>
      </w:rPr>
      <w:t>Wyspiańskiego 19/7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i/>
        <w:iCs/>
        <w:sz w:val="16"/>
        <w:lang w:val="de-DE"/>
      </w:rPr>
      <w:t xml:space="preserve">e-mail: </w:t>
    </w:r>
    <w:r w:rsidRPr="00D6396D">
      <w:rPr>
        <w:i/>
        <w:iCs/>
        <w:sz w:val="16"/>
        <w:lang w:val="de-DE"/>
      </w:rPr>
      <w:t>biuro@ekosanitech.pl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REGON </w:t>
    </w:r>
    <w:r w:rsidRPr="00D6396D">
      <w:rPr>
        <w:sz w:val="18"/>
      </w:rPr>
      <w:t>241357630</w:t>
    </w:r>
  </w:p>
  <w:p w:rsidR="002C6BB7" w:rsidRPr="007D0E4A" w:rsidRDefault="006B5833" w:rsidP="002C6BB7">
    <w:pPr>
      <w:pStyle w:val="Stopka"/>
      <w:rPr>
        <w:sz w:val="16"/>
        <w:lang w:val="de-DE"/>
      </w:rPr>
    </w:pPr>
    <w:r>
      <w:rPr>
        <w:sz w:val="18"/>
        <w:lang w:val="de-DE"/>
      </w:rPr>
      <w:t xml:space="preserve">  </w:t>
    </w:r>
    <w:r w:rsidRPr="00D6396D">
      <w:rPr>
        <w:sz w:val="18"/>
        <w:lang w:val="de-DE"/>
      </w:rPr>
      <w:t>43-502 Czechowice-Dziedzice</w:t>
    </w:r>
    <w:r>
      <w:rPr>
        <w:sz w:val="18"/>
        <w:lang w:val="de-D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BB" w:rsidRDefault="009467BB" w:rsidP="00F352A0">
      <w:r>
        <w:separator/>
      </w:r>
    </w:p>
  </w:footnote>
  <w:footnote w:type="continuationSeparator" w:id="0">
    <w:p w:rsidR="009467BB" w:rsidRDefault="009467BB" w:rsidP="00F35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7" w:type="dxa"/>
      <w:tblCellMar>
        <w:left w:w="70" w:type="dxa"/>
        <w:right w:w="70" w:type="dxa"/>
      </w:tblCellMar>
      <w:tblLook w:val="0000"/>
    </w:tblPr>
    <w:tblGrid>
      <w:gridCol w:w="2480"/>
      <w:gridCol w:w="6767"/>
    </w:tblGrid>
    <w:tr w:rsidR="002C6BB7" w:rsidRPr="0097693F" w:rsidTr="002C6BB7">
      <w:trPr>
        <w:trHeight w:val="428"/>
      </w:trPr>
      <w:tc>
        <w:tcPr>
          <w:tcW w:w="2480" w:type="dxa"/>
        </w:tcPr>
        <w:p w:rsidR="002C6BB7" w:rsidRDefault="006B5833" w:rsidP="002C6BB7">
          <w:pPr>
            <w:pStyle w:val="Podstawowy"/>
            <w:rPr>
              <w:sz w:val="28"/>
              <w:vertAlign w:val="subscript"/>
            </w:rPr>
          </w:pP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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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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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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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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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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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</w:t>
          </w:r>
        </w:p>
      </w:tc>
      <w:tc>
        <w:tcPr>
          <w:tcW w:w="6767" w:type="dxa"/>
          <w:vAlign w:val="center"/>
        </w:tcPr>
        <w:p w:rsidR="002C6BB7" w:rsidRPr="00E70FB6" w:rsidRDefault="006B5833" w:rsidP="002C6BB7">
          <w:pPr>
            <w:jc w:val="right"/>
            <w:rPr>
              <w:i/>
              <w:sz w:val="16"/>
              <w:szCs w:val="16"/>
            </w:rPr>
          </w:pPr>
          <w:r w:rsidRPr="009032B4">
            <w:rPr>
              <w:b/>
              <w:bCs/>
              <w:i/>
              <w:iCs/>
              <w:smallCaps/>
              <w:sz w:val="16"/>
              <w:szCs w:val="16"/>
            </w:rPr>
            <w:t xml:space="preserve">Temat: </w:t>
          </w:r>
          <w:r w:rsidR="00FD17E2" w:rsidRPr="00367BD9">
            <w:rPr>
              <w:i/>
              <w:sz w:val="14"/>
              <w:szCs w:val="14"/>
            </w:rPr>
            <w:t>Projekt przebudowy sieci wodociągowych</w:t>
          </w:r>
          <w:r w:rsidR="00FD17E2">
            <w:rPr>
              <w:i/>
              <w:sz w:val="14"/>
              <w:szCs w:val="14"/>
            </w:rPr>
            <w:t xml:space="preserve"> wraz z przyłączami w Ligocie </w:t>
          </w:r>
          <w:r w:rsidR="00FD17E2" w:rsidRPr="00367BD9">
            <w:rPr>
              <w:i/>
              <w:sz w:val="14"/>
              <w:szCs w:val="14"/>
            </w:rPr>
            <w:t>pn. Wykonanie projektów na modernizację sieci wodociągowych przy ul. Bronowskiej i Wolnej w Ligocie</w:t>
          </w:r>
          <w:r w:rsidR="00FD17E2">
            <w:rPr>
              <w:i/>
              <w:sz w:val="14"/>
              <w:szCs w:val="14"/>
            </w:rPr>
            <w:t xml:space="preserve"> </w:t>
          </w:r>
          <w:r>
            <w:rPr>
              <w:i/>
              <w:sz w:val="14"/>
              <w:szCs w:val="14"/>
            </w:rPr>
            <w:t>-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6"/>
              <w:szCs w:val="16"/>
            </w:rPr>
            <w:t>część II</w:t>
          </w:r>
          <w:r w:rsidRPr="009032B4">
            <w:rPr>
              <w:i/>
              <w:sz w:val="16"/>
              <w:szCs w:val="16"/>
            </w:rPr>
            <w:t>.</w:t>
          </w:r>
        </w:p>
      </w:tc>
    </w:tr>
    <w:tr w:rsidR="002C6BB7" w:rsidTr="002C6BB7">
      <w:trPr>
        <w:cantSplit/>
        <w:trHeight w:val="410"/>
      </w:trPr>
      <w:tc>
        <w:tcPr>
          <w:tcW w:w="9247" w:type="dxa"/>
          <w:gridSpan w:val="2"/>
        </w:tcPr>
        <w:p w:rsidR="002C6BB7" w:rsidRPr="0086140B" w:rsidRDefault="006B5833" w:rsidP="002C6BB7">
          <w:pPr>
            <w:pStyle w:val="Nagwek"/>
            <w:tabs>
              <w:tab w:val="clear" w:pos="4536"/>
              <w:tab w:val="center" w:pos="0"/>
            </w:tabs>
            <w:rPr>
              <w:b/>
              <w:bCs/>
              <w:i/>
              <w:sz w:val="16"/>
              <w:szCs w:val="16"/>
            </w:rPr>
          </w:pPr>
          <w:r w:rsidRPr="0086140B">
            <w:rPr>
              <w:b/>
              <w:bCs/>
              <w:i/>
              <w:iCs/>
              <w:smallCaps/>
              <w:sz w:val="16"/>
              <w:szCs w:val="16"/>
            </w:rPr>
            <w:t>Inwestor</w:t>
          </w:r>
          <w:r w:rsidRPr="0086140B">
            <w:rPr>
              <w:b/>
              <w:bCs/>
              <w:i/>
              <w:iCs/>
              <w:sz w:val="16"/>
              <w:szCs w:val="16"/>
            </w:rPr>
            <w:t>:</w:t>
          </w:r>
        </w:p>
        <w:p w:rsidR="002C6BB7" w:rsidRPr="00417F80" w:rsidRDefault="00B20132" w:rsidP="002C6BB7">
          <w:pPr>
            <w:pStyle w:val="Nagwek"/>
            <w:rPr>
              <w:i/>
              <w:iCs/>
              <w:sz w:val="16"/>
              <w:szCs w:val="16"/>
            </w:rPr>
          </w:pPr>
          <w:r w:rsidRPr="00367BD9">
            <w:rPr>
              <w:b/>
              <w:i/>
              <w:iCs/>
              <w:sz w:val="16"/>
              <w:szCs w:val="16"/>
            </w:rPr>
            <w:t>PIM Sp. z o.o.</w:t>
          </w:r>
          <w:r>
            <w:rPr>
              <w:b/>
              <w:i/>
              <w:iCs/>
              <w:sz w:val="16"/>
              <w:szCs w:val="16"/>
            </w:rPr>
            <w:t xml:space="preserve">, </w:t>
          </w:r>
          <w:r w:rsidRPr="00367BD9">
            <w:rPr>
              <w:i/>
              <w:iCs/>
              <w:sz w:val="16"/>
              <w:szCs w:val="16"/>
            </w:rPr>
            <w:t>43 - 502 Czechowice-Dziedzice, ul. Szarych Szeregów 2</w:t>
          </w:r>
        </w:p>
      </w:tc>
    </w:tr>
  </w:tbl>
  <w:p w:rsidR="002C6BB7" w:rsidRDefault="005A112E" w:rsidP="002C6BB7">
    <w:pPr>
      <w:pStyle w:val="Nagwek"/>
      <w:tabs>
        <w:tab w:val="clear" w:pos="4536"/>
        <w:tab w:val="clear" w:pos="9072"/>
        <w:tab w:val="center" w:pos="4535"/>
      </w:tabs>
    </w:pPr>
    <w:r>
      <w:rPr>
        <w:noProof/>
      </w:rPr>
      <w:pict>
        <v:shape id="_x0000_s1025" style="position:absolute;margin-left:-3.35pt;margin-top:3.4pt;width:458.25pt;height:0;z-index:251660288;mso-position-horizontal-relative:text;mso-position-vertical-relative:text" coordsize="9165,1" path="m,l9165,e" filled="f" strokecolor="blue">
          <v:path arrowok="t"/>
        </v:shape>
      </w:pict>
    </w:r>
    <w:r w:rsidR="006B5833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6F97"/>
    <w:multiLevelType w:val="hybridMultilevel"/>
    <w:tmpl w:val="92A2D1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5C0C26"/>
    <w:multiLevelType w:val="multilevel"/>
    <w:tmpl w:val="389C2D16"/>
    <w:lvl w:ilvl="0">
      <w:start w:val="1"/>
      <w:numFmt w:val="decimal"/>
      <w:pStyle w:val="NAGOWEK1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owek2T"/>
      <w:lvlText w:val="%1.%2."/>
      <w:lvlJc w:val="left"/>
      <w:pPr>
        <w:tabs>
          <w:tab w:val="num" w:pos="783"/>
        </w:tabs>
        <w:ind w:left="936" w:hanging="510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358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B5833"/>
    <w:rsid w:val="00003CD7"/>
    <w:rsid w:val="00014396"/>
    <w:rsid w:val="00024AFE"/>
    <w:rsid w:val="0003202D"/>
    <w:rsid w:val="0004070E"/>
    <w:rsid w:val="00040F30"/>
    <w:rsid w:val="00057CB7"/>
    <w:rsid w:val="00064DED"/>
    <w:rsid w:val="00087A89"/>
    <w:rsid w:val="000B6E36"/>
    <w:rsid w:val="000C1B01"/>
    <w:rsid w:val="000C3668"/>
    <w:rsid w:val="000C6CD8"/>
    <w:rsid w:val="001230FA"/>
    <w:rsid w:val="00140002"/>
    <w:rsid w:val="001515FA"/>
    <w:rsid w:val="00166D66"/>
    <w:rsid w:val="00173A14"/>
    <w:rsid w:val="00177D69"/>
    <w:rsid w:val="0018016C"/>
    <w:rsid w:val="001921CE"/>
    <w:rsid w:val="001A1E68"/>
    <w:rsid w:val="001A63B5"/>
    <w:rsid w:val="001B35A9"/>
    <w:rsid w:val="001C27FC"/>
    <w:rsid w:val="001C419A"/>
    <w:rsid w:val="001D14CD"/>
    <w:rsid w:val="001D5747"/>
    <w:rsid w:val="001D663C"/>
    <w:rsid w:val="001F15CF"/>
    <w:rsid w:val="001F7D7C"/>
    <w:rsid w:val="00225F45"/>
    <w:rsid w:val="002311FB"/>
    <w:rsid w:val="002341CF"/>
    <w:rsid w:val="00241412"/>
    <w:rsid w:val="0024757E"/>
    <w:rsid w:val="002508C1"/>
    <w:rsid w:val="00262D29"/>
    <w:rsid w:val="0026576E"/>
    <w:rsid w:val="0027567C"/>
    <w:rsid w:val="002814FF"/>
    <w:rsid w:val="00291D4A"/>
    <w:rsid w:val="00294D5D"/>
    <w:rsid w:val="002A787C"/>
    <w:rsid w:val="002A79FB"/>
    <w:rsid w:val="002A7E60"/>
    <w:rsid w:val="002B181B"/>
    <w:rsid w:val="002B1FE1"/>
    <w:rsid w:val="002B2653"/>
    <w:rsid w:val="002B6055"/>
    <w:rsid w:val="002B66D3"/>
    <w:rsid w:val="002C13D8"/>
    <w:rsid w:val="002C3E5A"/>
    <w:rsid w:val="002C487A"/>
    <w:rsid w:val="002C586D"/>
    <w:rsid w:val="002C6BB7"/>
    <w:rsid w:val="002C77AD"/>
    <w:rsid w:val="002E0401"/>
    <w:rsid w:val="002E4252"/>
    <w:rsid w:val="002E7462"/>
    <w:rsid w:val="00303D37"/>
    <w:rsid w:val="00307926"/>
    <w:rsid w:val="003149BA"/>
    <w:rsid w:val="00332779"/>
    <w:rsid w:val="003425D7"/>
    <w:rsid w:val="00365B47"/>
    <w:rsid w:val="0037787F"/>
    <w:rsid w:val="003912A7"/>
    <w:rsid w:val="003A1C3A"/>
    <w:rsid w:val="003B2E5E"/>
    <w:rsid w:val="003B6BB1"/>
    <w:rsid w:val="003B7374"/>
    <w:rsid w:val="003D5792"/>
    <w:rsid w:val="003E4055"/>
    <w:rsid w:val="003F6CCD"/>
    <w:rsid w:val="004074FC"/>
    <w:rsid w:val="00421815"/>
    <w:rsid w:val="00434427"/>
    <w:rsid w:val="004568DE"/>
    <w:rsid w:val="00462E0E"/>
    <w:rsid w:val="00463640"/>
    <w:rsid w:val="004834F3"/>
    <w:rsid w:val="00483A3B"/>
    <w:rsid w:val="004A3598"/>
    <w:rsid w:val="004D1064"/>
    <w:rsid w:val="004F24C8"/>
    <w:rsid w:val="004F7AB2"/>
    <w:rsid w:val="00503BFD"/>
    <w:rsid w:val="00512924"/>
    <w:rsid w:val="00533C97"/>
    <w:rsid w:val="00541582"/>
    <w:rsid w:val="0054248B"/>
    <w:rsid w:val="0054372E"/>
    <w:rsid w:val="005559A8"/>
    <w:rsid w:val="00570897"/>
    <w:rsid w:val="00577378"/>
    <w:rsid w:val="00594E46"/>
    <w:rsid w:val="00596554"/>
    <w:rsid w:val="005A112E"/>
    <w:rsid w:val="005A50EF"/>
    <w:rsid w:val="005A711F"/>
    <w:rsid w:val="005B090B"/>
    <w:rsid w:val="005B5127"/>
    <w:rsid w:val="005B7CE3"/>
    <w:rsid w:val="005D0553"/>
    <w:rsid w:val="005E2743"/>
    <w:rsid w:val="005F64D8"/>
    <w:rsid w:val="0060593F"/>
    <w:rsid w:val="00606644"/>
    <w:rsid w:val="00612E3B"/>
    <w:rsid w:val="00630625"/>
    <w:rsid w:val="006315D1"/>
    <w:rsid w:val="006407C2"/>
    <w:rsid w:val="0066027C"/>
    <w:rsid w:val="0066691D"/>
    <w:rsid w:val="00677F09"/>
    <w:rsid w:val="006822C9"/>
    <w:rsid w:val="006912BF"/>
    <w:rsid w:val="006A4E06"/>
    <w:rsid w:val="006B5833"/>
    <w:rsid w:val="006C01AE"/>
    <w:rsid w:val="006C6D16"/>
    <w:rsid w:val="006C79DB"/>
    <w:rsid w:val="006F03CA"/>
    <w:rsid w:val="006F1764"/>
    <w:rsid w:val="006F4D08"/>
    <w:rsid w:val="00703B05"/>
    <w:rsid w:val="007174A5"/>
    <w:rsid w:val="00732632"/>
    <w:rsid w:val="00737B1D"/>
    <w:rsid w:val="00737F45"/>
    <w:rsid w:val="0076210D"/>
    <w:rsid w:val="00762F28"/>
    <w:rsid w:val="00764DFA"/>
    <w:rsid w:val="00775D0A"/>
    <w:rsid w:val="00780511"/>
    <w:rsid w:val="00785CE9"/>
    <w:rsid w:val="0079073B"/>
    <w:rsid w:val="007A2413"/>
    <w:rsid w:val="007B2130"/>
    <w:rsid w:val="007C3F29"/>
    <w:rsid w:val="007C4574"/>
    <w:rsid w:val="007C7E17"/>
    <w:rsid w:val="007D185D"/>
    <w:rsid w:val="007D3598"/>
    <w:rsid w:val="007E3877"/>
    <w:rsid w:val="007E4348"/>
    <w:rsid w:val="008002D0"/>
    <w:rsid w:val="0081541B"/>
    <w:rsid w:val="008340D6"/>
    <w:rsid w:val="00834ED3"/>
    <w:rsid w:val="008369AF"/>
    <w:rsid w:val="00836EEC"/>
    <w:rsid w:val="00841279"/>
    <w:rsid w:val="00851B2A"/>
    <w:rsid w:val="00873651"/>
    <w:rsid w:val="00893860"/>
    <w:rsid w:val="008B6713"/>
    <w:rsid w:val="008C3816"/>
    <w:rsid w:val="00911283"/>
    <w:rsid w:val="0091506D"/>
    <w:rsid w:val="00925551"/>
    <w:rsid w:val="009467BB"/>
    <w:rsid w:val="00952072"/>
    <w:rsid w:val="00980410"/>
    <w:rsid w:val="00993ECE"/>
    <w:rsid w:val="009A02B4"/>
    <w:rsid w:val="009B0E40"/>
    <w:rsid w:val="009D2045"/>
    <w:rsid w:val="009E1902"/>
    <w:rsid w:val="009E7957"/>
    <w:rsid w:val="009F6102"/>
    <w:rsid w:val="00A034EF"/>
    <w:rsid w:val="00A213FC"/>
    <w:rsid w:val="00A30B4D"/>
    <w:rsid w:val="00A31DA3"/>
    <w:rsid w:val="00A358D1"/>
    <w:rsid w:val="00A40904"/>
    <w:rsid w:val="00A62CC4"/>
    <w:rsid w:val="00A62FF4"/>
    <w:rsid w:val="00A74B8B"/>
    <w:rsid w:val="00A84672"/>
    <w:rsid w:val="00A87FB2"/>
    <w:rsid w:val="00A91133"/>
    <w:rsid w:val="00A97945"/>
    <w:rsid w:val="00AC706B"/>
    <w:rsid w:val="00B10DFB"/>
    <w:rsid w:val="00B1134D"/>
    <w:rsid w:val="00B179FA"/>
    <w:rsid w:val="00B17CF1"/>
    <w:rsid w:val="00B20132"/>
    <w:rsid w:val="00B41100"/>
    <w:rsid w:val="00B47B19"/>
    <w:rsid w:val="00B644A0"/>
    <w:rsid w:val="00B66164"/>
    <w:rsid w:val="00B71015"/>
    <w:rsid w:val="00B7246E"/>
    <w:rsid w:val="00B86EBC"/>
    <w:rsid w:val="00BA406C"/>
    <w:rsid w:val="00BA6312"/>
    <w:rsid w:val="00BB05C2"/>
    <w:rsid w:val="00BB54F4"/>
    <w:rsid w:val="00BC20E3"/>
    <w:rsid w:val="00BC3AFC"/>
    <w:rsid w:val="00BE6C78"/>
    <w:rsid w:val="00BF18AB"/>
    <w:rsid w:val="00BF7DDA"/>
    <w:rsid w:val="00C07F43"/>
    <w:rsid w:val="00C1248C"/>
    <w:rsid w:val="00C15925"/>
    <w:rsid w:val="00C16275"/>
    <w:rsid w:val="00C24B83"/>
    <w:rsid w:val="00C3115B"/>
    <w:rsid w:val="00C40BAE"/>
    <w:rsid w:val="00C47239"/>
    <w:rsid w:val="00C572E2"/>
    <w:rsid w:val="00C65608"/>
    <w:rsid w:val="00C83C06"/>
    <w:rsid w:val="00C91AF2"/>
    <w:rsid w:val="00C95185"/>
    <w:rsid w:val="00C95C0C"/>
    <w:rsid w:val="00CA10AA"/>
    <w:rsid w:val="00CB3E68"/>
    <w:rsid w:val="00CB5EF3"/>
    <w:rsid w:val="00CB7303"/>
    <w:rsid w:val="00CC1905"/>
    <w:rsid w:val="00CC6470"/>
    <w:rsid w:val="00CD2BA0"/>
    <w:rsid w:val="00CD3644"/>
    <w:rsid w:val="00CD6E6C"/>
    <w:rsid w:val="00CF49D4"/>
    <w:rsid w:val="00D17FC2"/>
    <w:rsid w:val="00D27912"/>
    <w:rsid w:val="00D31BAB"/>
    <w:rsid w:val="00D35F45"/>
    <w:rsid w:val="00D41CF9"/>
    <w:rsid w:val="00D55077"/>
    <w:rsid w:val="00D56D66"/>
    <w:rsid w:val="00D8367D"/>
    <w:rsid w:val="00D91477"/>
    <w:rsid w:val="00DA1B7A"/>
    <w:rsid w:val="00DB3051"/>
    <w:rsid w:val="00DB49D4"/>
    <w:rsid w:val="00DD1935"/>
    <w:rsid w:val="00DD2C8F"/>
    <w:rsid w:val="00DD2E1A"/>
    <w:rsid w:val="00DD357B"/>
    <w:rsid w:val="00DD3CFA"/>
    <w:rsid w:val="00DF5FB1"/>
    <w:rsid w:val="00DF65F2"/>
    <w:rsid w:val="00E0093C"/>
    <w:rsid w:val="00E00FAA"/>
    <w:rsid w:val="00E11814"/>
    <w:rsid w:val="00E20D41"/>
    <w:rsid w:val="00E27ADF"/>
    <w:rsid w:val="00E34347"/>
    <w:rsid w:val="00E55CD0"/>
    <w:rsid w:val="00E7355B"/>
    <w:rsid w:val="00E85E90"/>
    <w:rsid w:val="00E9258F"/>
    <w:rsid w:val="00E9432A"/>
    <w:rsid w:val="00E94AFD"/>
    <w:rsid w:val="00EA58E2"/>
    <w:rsid w:val="00EB5B1D"/>
    <w:rsid w:val="00EF5B7B"/>
    <w:rsid w:val="00F0215E"/>
    <w:rsid w:val="00F14403"/>
    <w:rsid w:val="00F14FF1"/>
    <w:rsid w:val="00F173D1"/>
    <w:rsid w:val="00F27F20"/>
    <w:rsid w:val="00F352A0"/>
    <w:rsid w:val="00F36C3F"/>
    <w:rsid w:val="00F37399"/>
    <w:rsid w:val="00F4781E"/>
    <w:rsid w:val="00F47A0B"/>
    <w:rsid w:val="00F52BC0"/>
    <w:rsid w:val="00F635FF"/>
    <w:rsid w:val="00F641EA"/>
    <w:rsid w:val="00F84DED"/>
    <w:rsid w:val="00F86203"/>
    <w:rsid w:val="00FA17F1"/>
    <w:rsid w:val="00FA2188"/>
    <w:rsid w:val="00FA21FE"/>
    <w:rsid w:val="00FB3F79"/>
    <w:rsid w:val="00FB4C8E"/>
    <w:rsid w:val="00FC63A6"/>
    <w:rsid w:val="00FD17E2"/>
    <w:rsid w:val="00FD5A55"/>
    <w:rsid w:val="00FE0ACF"/>
    <w:rsid w:val="00FE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833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5833"/>
    <w:pPr>
      <w:keepNext/>
      <w:jc w:val="both"/>
      <w:outlineLvl w:val="0"/>
    </w:pPr>
    <w:rPr>
      <w:b/>
      <w:i/>
      <w:shadow/>
      <w:sz w:val="28"/>
    </w:rPr>
  </w:style>
  <w:style w:type="paragraph" w:styleId="Nagwek2">
    <w:name w:val="heading 2"/>
    <w:aliases w:val="Nagłówek 2 Znak Znak,Nagłówek 2 Znak Znak Znak Znak"/>
    <w:basedOn w:val="Normalny"/>
    <w:next w:val="Normalny"/>
    <w:link w:val="Nagwek2Znak"/>
    <w:qFormat/>
    <w:rsid w:val="006B5833"/>
    <w:pPr>
      <w:keepNext/>
      <w:spacing w:before="240" w:after="60"/>
      <w:outlineLvl w:val="1"/>
    </w:pPr>
    <w:rPr>
      <w:b/>
      <w:i/>
      <w:sz w:val="26"/>
    </w:rPr>
  </w:style>
  <w:style w:type="paragraph" w:styleId="Nagwek9">
    <w:name w:val="heading 9"/>
    <w:basedOn w:val="Normalny"/>
    <w:next w:val="Normalny"/>
    <w:link w:val="Nagwek9Znak"/>
    <w:qFormat/>
    <w:rsid w:val="006B5833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5833"/>
    <w:rPr>
      <w:rFonts w:ascii="Arial" w:eastAsia="Times New Roman" w:hAnsi="Arial" w:cs="Times New Roman"/>
      <w:b/>
      <w:i/>
      <w:shadow/>
      <w:sz w:val="28"/>
      <w:szCs w:val="20"/>
      <w:lang w:eastAsia="pl-PL"/>
    </w:rPr>
  </w:style>
  <w:style w:type="character" w:customStyle="1" w:styleId="Nagwek2Znak">
    <w:name w:val="Nagłówek 2 Znak"/>
    <w:aliases w:val="Nagłówek 2 Znak Znak Znak,Nagłówek 2 Znak Znak Znak Znak Znak"/>
    <w:basedOn w:val="Domylnaczcionkaakapitu"/>
    <w:link w:val="Nagwek2"/>
    <w:rsid w:val="006B5833"/>
    <w:rPr>
      <w:rFonts w:ascii="Arial" w:eastAsia="Times New Roman" w:hAnsi="Arial" w:cs="Times New Roman"/>
      <w:b/>
      <w:i/>
      <w:sz w:val="26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B5833"/>
    <w:rPr>
      <w:rFonts w:ascii="Arial" w:eastAsia="Times New Roman" w:hAnsi="Arial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qFormat/>
    <w:rsid w:val="006B5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6B5833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semiHidden/>
    <w:rsid w:val="006B5833"/>
    <w:pPr>
      <w:tabs>
        <w:tab w:val="left" w:pos="5576"/>
      </w:tabs>
    </w:pPr>
    <w:rPr>
      <w:snapToGrid w:val="0"/>
    </w:rPr>
  </w:style>
  <w:style w:type="character" w:customStyle="1" w:styleId="StopkaZnak">
    <w:name w:val="Stopka Znak"/>
    <w:basedOn w:val="Domylnaczcionkaakapitu"/>
    <w:link w:val="Stopka"/>
    <w:semiHidden/>
    <w:rsid w:val="006B5833"/>
    <w:rPr>
      <w:rFonts w:ascii="Arial" w:eastAsia="Times New Roman" w:hAnsi="Arial" w:cs="Times New Roman"/>
      <w:snapToGrid w:val="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B5833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5833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6B5833"/>
    <w:pPr>
      <w:spacing w:before="120" w:after="120"/>
    </w:pPr>
    <w:rPr>
      <w:rFonts w:ascii="Times New Roman" w:hAnsi="Times New Roman"/>
      <w:b/>
      <w:bCs/>
      <w:caps/>
      <w:szCs w:val="24"/>
    </w:rPr>
  </w:style>
  <w:style w:type="paragraph" w:styleId="Spistreci2">
    <w:name w:val="toc 2"/>
    <w:basedOn w:val="Normalny"/>
    <w:next w:val="Normalny"/>
    <w:autoRedefine/>
    <w:uiPriority w:val="39"/>
    <w:rsid w:val="005559A8"/>
    <w:pPr>
      <w:tabs>
        <w:tab w:val="right" w:leader="dot" w:pos="9061"/>
      </w:tabs>
      <w:ind w:left="220"/>
    </w:pPr>
    <w:rPr>
      <w:rFonts w:cs="Arial"/>
      <w:i/>
      <w:smallCaps/>
      <w:noProof/>
      <w:sz w:val="20"/>
    </w:rPr>
  </w:style>
  <w:style w:type="character" w:styleId="Numerstrony">
    <w:name w:val="page number"/>
    <w:basedOn w:val="Domylnaczcionkaakapitu"/>
    <w:semiHidden/>
    <w:rsid w:val="006B5833"/>
  </w:style>
  <w:style w:type="character" w:styleId="Hipercze">
    <w:name w:val="Hyperlink"/>
    <w:basedOn w:val="Domylnaczcionkaakapitu"/>
    <w:uiPriority w:val="99"/>
    <w:rsid w:val="006B5833"/>
    <w:rPr>
      <w:color w:val="0000FF"/>
      <w:u w:val="single"/>
    </w:rPr>
  </w:style>
  <w:style w:type="paragraph" w:customStyle="1" w:styleId="Podstawowy">
    <w:name w:val="Podstawowy"/>
    <w:basedOn w:val="Normalny"/>
    <w:rsid w:val="006B5833"/>
  </w:style>
  <w:style w:type="paragraph" w:customStyle="1" w:styleId="NAGOWEK1T">
    <w:name w:val="NAGŁOWEK_1T"/>
    <w:basedOn w:val="Nagwek1"/>
    <w:link w:val="NAGOWEK1TZnakZnak"/>
    <w:rsid w:val="006B5833"/>
    <w:pPr>
      <w:numPr>
        <w:numId w:val="1"/>
      </w:numPr>
    </w:pPr>
    <w:rPr>
      <w:bCs/>
      <w:i w:val="0"/>
      <w:smallCaps/>
      <w:szCs w:val="24"/>
    </w:rPr>
  </w:style>
  <w:style w:type="character" w:customStyle="1" w:styleId="NAGOWEK1TZnakZnak">
    <w:name w:val="NAGŁOWEK_1T Znak Znak"/>
    <w:basedOn w:val="Domylnaczcionkaakapitu"/>
    <w:link w:val="NAGOWEK1T"/>
    <w:rsid w:val="006B5833"/>
    <w:rPr>
      <w:rFonts w:ascii="Arial" w:eastAsia="Times New Roman" w:hAnsi="Arial" w:cs="Times New Roman"/>
      <w:b/>
      <w:bCs/>
      <w:smallCaps/>
      <w:shadow/>
      <w:sz w:val="28"/>
      <w:szCs w:val="24"/>
      <w:lang w:eastAsia="pl-PL"/>
    </w:rPr>
  </w:style>
  <w:style w:type="paragraph" w:customStyle="1" w:styleId="Nagowek2T">
    <w:name w:val="Nagłowek _2T"/>
    <w:basedOn w:val="Nagwek2"/>
    <w:rsid w:val="006B5833"/>
    <w:pPr>
      <w:numPr>
        <w:ilvl w:val="1"/>
        <w:numId w:val="1"/>
      </w:numPr>
      <w:jc w:val="both"/>
    </w:pPr>
    <w:rPr>
      <w:bCs/>
      <w:i w:val="0"/>
      <w:smallCaps/>
      <w:szCs w:val="26"/>
    </w:rPr>
  </w:style>
  <w:style w:type="paragraph" w:customStyle="1" w:styleId="Styl0TtomekCzerwony">
    <w:name w:val="Styl 0T_tomek + Czerwony"/>
    <w:basedOn w:val="Normalny"/>
    <w:rsid w:val="006B5833"/>
    <w:pPr>
      <w:jc w:val="both"/>
    </w:pPr>
    <w:rPr>
      <w:rFonts w:ascii="Verdana" w:hAnsi="Verdana"/>
      <w:color w:val="FF0000"/>
      <w:sz w:val="20"/>
      <w:szCs w:val="22"/>
    </w:rPr>
  </w:style>
  <w:style w:type="paragraph" w:styleId="Bezodstpw">
    <w:name w:val="No Spacing"/>
    <w:uiPriority w:val="1"/>
    <w:qFormat/>
    <w:rsid w:val="006B583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B58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B5833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8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83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0Ttomek">
    <w:name w:val="0T_tomek"/>
    <w:basedOn w:val="Normalny"/>
    <w:link w:val="0TtomekZnak"/>
    <w:rsid w:val="00DD357B"/>
    <w:pPr>
      <w:jc w:val="both"/>
    </w:pPr>
    <w:rPr>
      <w:rFonts w:ascii="Century Gothic" w:hAnsi="Century Gothic"/>
      <w:sz w:val="20"/>
      <w:szCs w:val="22"/>
    </w:rPr>
  </w:style>
  <w:style w:type="character" w:customStyle="1" w:styleId="0TtomekZnak">
    <w:name w:val="0T_tomek Znak"/>
    <w:basedOn w:val="Domylnaczcionkaakapitu"/>
    <w:link w:val="0Ttomek"/>
    <w:rsid w:val="00DD357B"/>
    <w:rPr>
      <w:rFonts w:ascii="Century Gothic" w:eastAsia="Times New Roman" w:hAnsi="Century Gothic" w:cs="Times New Roman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3019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2</cp:revision>
  <cp:lastPrinted>2024-03-27T16:44:00Z</cp:lastPrinted>
  <dcterms:created xsi:type="dcterms:W3CDTF">2024-04-19T09:40:00Z</dcterms:created>
  <dcterms:modified xsi:type="dcterms:W3CDTF">2024-04-19T09:40:00Z</dcterms:modified>
</cp:coreProperties>
</file>